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B6FA7" w14:textId="01D4D4CD" w:rsidR="003524E5" w:rsidRPr="0076660D" w:rsidRDefault="003524E5" w:rsidP="003524E5">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AB32BB" w:rsidRPr="00AB32BB">
        <w:rPr>
          <w:b/>
          <w:color w:val="000000" w:themeColor="text1"/>
          <w:sz w:val="24"/>
        </w:rPr>
        <w:t>4068</w:t>
      </w:r>
    </w:p>
    <w:p w14:paraId="102722CD" w14:textId="1C321C3B" w:rsidR="003524E5" w:rsidRPr="00BC0557" w:rsidRDefault="003524E5" w:rsidP="003524E5">
      <w:pPr>
        <w:pStyle w:val="Header"/>
        <w:rPr>
          <w:b/>
          <w:sz w:val="24"/>
        </w:rPr>
      </w:pPr>
      <w:r>
        <w:rPr>
          <w:b/>
          <w:sz w:val="24"/>
        </w:rPr>
        <w:t>e-Meeting, May 25 – June 0</w:t>
      </w:r>
      <w:r w:rsidR="00A2660F">
        <w:rPr>
          <w:b/>
          <w:sz w:val="24"/>
        </w:rPr>
        <w:t>5</w:t>
      </w:r>
      <w:r>
        <w:rPr>
          <w:b/>
          <w:sz w:val="24"/>
        </w:rPr>
        <w:t>, 2020</w:t>
      </w:r>
    </w:p>
    <w:bookmarkEnd w:id="0"/>
    <w:p w14:paraId="776F4C14" w14:textId="77777777" w:rsidR="00443FFF" w:rsidRDefault="00443FFF" w:rsidP="00443FFF"/>
    <w:p w14:paraId="03C6A536" w14:textId="09163D3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F54C83">
        <w:t>5</w:t>
      </w:r>
    </w:p>
    <w:p w14:paraId="06A83340" w14:textId="3AF42CE8"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6B603A" w:rsidRPr="006B603A">
        <w:rPr>
          <w:color w:val="000000" w:themeColor="text1"/>
        </w:rPr>
        <w:t>Discussion on RAN1's view on NR sidelink</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459D3F29" w:rsidR="00D562C7" w:rsidRPr="00F54C83" w:rsidRDefault="009458BE" w:rsidP="00740B19">
      <w:pPr>
        <w:pStyle w:val="BodyText"/>
        <w:spacing w:after="120"/>
        <w:rPr>
          <w:sz w:val="20"/>
          <w:szCs w:val="20"/>
        </w:rPr>
      </w:pPr>
      <w:r w:rsidRPr="0040430F">
        <w:rPr>
          <w:color w:val="000000" w:themeColor="text1"/>
          <w:sz w:val="20"/>
          <w:szCs w:val="20"/>
        </w:rPr>
        <w:t xml:space="preserve">Towards the RAN1#101-e meeting, RAN1 received a LS from RAN2 </w:t>
      </w:r>
      <w:r>
        <w:rPr>
          <w:color w:val="000000" w:themeColor="text1"/>
          <w:sz w:val="20"/>
          <w:szCs w:val="20"/>
        </w:rPr>
        <w:t>in [1]</w:t>
      </w:r>
      <w:r w:rsidRPr="0040430F">
        <w:rPr>
          <w:color w:val="000000" w:themeColor="text1"/>
          <w:sz w:val="20"/>
          <w:szCs w:val="20"/>
        </w:rPr>
        <w:t xml:space="preserve"> requesting RAN1</w:t>
      </w:r>
      <w:r w:rsidR="0089323B">
        <w:rPr>
          <w:color w:val="000000" w:themeColor="text1"/>
          <w:sz w:val="20"/>
          <w:szCs w:val="20"/>
        </w:rPr>
        <w:t>’s views on HARQ process ID calculation for SL configured grants, configured MCS levels for DG and CG, and bitmap indication for PSFCH resources</w:t>
      </w:r>
      <w:r w:rsidRPr="0040430F">
        <w:rPr>
          <w:color w:val="000000" w:themeColor="text1"/>
          <w:sz w:val="20"/>
          <w:szCs w:val="20"/>
        </w:rPr>
        <w:t>. In this contribution, we provide</w:t>
      </w:r>
      <w:r w:rsidR="0089323B">
        <w:rPr>
          <w:color w:val="000000" w:themeColor="text1"/>
          <w:sz w:val="20"/>
          <w:szCs w:val="20"/>
        </w:rPr>
        <w:t xml:space="preserve"> some</w:t>
      </w:r>
      <w:r w:rsidRPr="0040430F">
        <w:rPr>
          <w:color w:val="000000" w:themeColor="text1"/>
          <w:sz w:val="20"/>
          <w:szCs w:val="20"/>
        </w:rPr>
        <w:t xml:space="preserve"> discussion</w:t>
      </w:r>
      <w:r w:rsidR="0089323B">
        <w:rPr>
          <w:color w:val="000000" w:themeColor="text1"/>
          <w:sz w:val="20"/>
          <w:szCs w:val="20"/>
        </w:rPr>
        <w:t>s</w:t>
      </w:r>
      <w:r w:rsidRPr="0040430F">
        <w:rPr>
          <w:color w:val="000000" w:themeColor="text1"/>
          <w:sz w:val="20"/>
          <w:szCs w:val="20"/>
        </w:rPr>
        <w:t xml:space="preserve"> and </w:t>
      </w:r>
      <w:r w:rsidR="0089323B">
        <w:rPr>
          <w:color w:val="000000" w:themeColor="text1"/>
          <w:sz w:val="20"/>
          <w:szCs w:val="20"/>
        </w:rPr>
        <w:t>views for these questions from RAN2</w:t>
      </w:r>
      <w:r w:rsidRPr="0040430F">
        <w:rPr>
          <w:color w:val="000000" w:themeColor="text1"/>
          <w:sz w:val="20"/>
          <w:szCs w:val="20"/>
        </w:rPr>
        <w:t>.</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69C289A5" w14:textId="074D1FD0" w:rsidR="00DC1E9B" w:rsidRPr="009458BE" w:rsidRDefault="009458BE" w:rsidP="00DC1E9B">
      <w:pPr>
        <w:spacing w:before="240" w:after="120"/>
        <w:rPr>
          <w:b/>
          <w:i/>
          <w:color w:val="000000" w:themeColor="text1"/>
          <w:sz w:val="20"/>
          <w:szCs w:val="20"/>
          <w:u w:val="single"/>
        </w:rPr>
      </w:pPr>
      <w:r w:rsidRPr="009458BE">
        <w:rPr>
          <w:b/>
          <w:i/>
          <w:color w:val="000000" w:themeColor="text1"/>
          <w:sz w:val="20"/>
          <w:szCs w:val="20"/>
          <w:u w:val="single"/>
        </w:rPr>
        <w:t>2.</w:t>
      </w:r>
      <w:r w:rsidR="00DC1E9B" w:rsidRPr="009458BE">
        <w:rPr>
          <w:b/>
          <w:i/>
          <w:color w:val="000000" w:themeColor="text1"/>
          <w:sz w:val="20"/>
          <w:szCs w:val="20"/>
          <w:u w:val="single"/>
        </w:rPr>
        <w:t xml:space="preserve">1 </w:t>
      </w:r>
      <w:r w:rsidRPr="009458BE">
        <w:rPr>
          <w:b/>
          <w:i/>
          <w:color w:val="000000" w:themeColor="text1"/>
          <w:sz w:val="20"/>
          <w:szCs w:val="20"/>
          <w:u w:val="single"/>
        </w:rPr>
        <w:t xml:space="preserve">HARQ </w:t>
      </w:r>
      <w:r w:rsidR="00DC1E9B" w:rsidRPr="009458BE">
        <w:rPr>
          <w:b/>
          <w:i/>
          <w:color w:val="000000" w:themeColor="text1"/>
          <w:sz w:val="20"/>
          <w:szCs w:val="20"/>
          <w:u w:val="single"/>
        </w:rPr>
        <w:t>Process ID calculation</w:t>
      </w:r>
    </w:p>
    <w:p w14:paraId="75FB6011" w14:textId="37D6511D" w:rsidR="009458BE" w:rsidRDefault="00C65176" w:rsidP="009458BE">
      <w:pPr>
        <w:pStyle w:val="BodyText"/>
        <w:spacing w:after="240"/>
        <w:rPr>
          <w:color w:val="auto"/>
          <w:lang w:eastAsia="x-none"/>
        </w:rPr>
      </w:pPr>
      <w:r w:rsidRPr="0073281B">
        <w:rPr>
          <w:rFonts w:eastAsiaTheme="minorEastAsia"/>
          <w:color w:val="auto"/>
          <w:sz w:val="20"/>
        </w:rPr>
        <w:t xml:space="preserve">The </w:t>
      </w:r>
      <w:r w:rsidR="0073281B" w:rsidRPr="0073281B">
        <w:rPr>
          <w:rFonts w:eastAsiaTheme="minorEastAsia"/>
          <w:color w:val="auto"/>
          <w:sz w:val="20"/>
        </w:rPr>
        <w:t xml:space="preserve">following agreements were achieved in the email discussion </w:t>
      </w:r>
      <w:r w:rsidR="0073281B" w:rsidRPr="0073281B">
        <w:rPr>
          <w:color w:val="auto"/>
          <w:lang w:eastAsia="x-none"/>
        </w:rPr>
        <w:t>[100e-NR-5G_V2X_NRSL-RA_Mode1-02]</w:t>
      </w:r>
      <w:r w:rsidR="0073281B">
        <w:rPr>
          <w:color w:val="auto"/>
          <w:lang w:eastAsia="x-none"/>
        </w:rPr>
        <w:t xml:space="preserve">: </w:t>
      </w:r>
    </w:p>
    <w:p w14:paraId="082CD052" w14:textId="77777777" w:rsidR="0073281B" w:rsidRPr="00C80886" w:rsidRDefault="0073281B" w:rsidP="0073281B">
      <w:r w:rsidRPr="00C80886">
        <w:rPr>
          <w:highlight w:val="green"/>
        </w:rPr>
        <w:t>Agreements</w:t>
      </w:r>
      <w:r>
        <w:rPr>
          <w:highlight w:val="green"/>
        </w:rPr>
        <w:t xml:space="preserve"> (Q2)</w:t>
      </w:r>
      <w:r w:rsidRPr="00C80886">
        <w:rPr>
          <w:highlight w:val="green"/>
        </w:rPr>
        <w:t>:</w:t>
      </w:r>
    </w:p>
    <w:p w14:paraId="3A408B78" w14:textId="77777777" w:rsidR="0073281B" w:rsidRPr="005A5356" w:rsidRDefault="0073281B" w:rsidP="0073281B">
      <w:pPr>
        <w:pStyle w:val="ListParagraph"/>
        <w:numPr>
          <w:ilvl w:val="0"/>
          <w:numId w:val="37"/>
        </w:numPr>
        <w:overflowPunct w:val="0"/>
        <w:autoSpaceDE w:val="0"/>
        <w:autoSpaceDN w:val="0"/>
        <w:adjustRightInd w:val="0"/>
        <w:spacing w:after="180"/>
        <w:ind w:leftChars="0"/>
        <w:contextualSpacing/>
        <w:textAlignment w:val="baseline"/>
        <w:rPr>
          <w:lang w:eastAsia="ko-KR"/>
        </w:rPr>
      </w:pPr>
      <w:r>
        <w:rPr>
          <w:lang w:eastAsia="ko-KR"/>
        </w:rPr>
        <w:t xml:space="preserve">The HARQ process ID for each transmission in a resource corresponding to a SL configured grant is determined </w:t>
      </w:r>
      <w:r w:rsidRPr="00E060D3">
        <w:rPr>
          <w:lang w:eastAsia="ko-KR"/>
        </w:rPr>
        <w:t>based on the formula used for UL configured grants</w:t>
      </w:r>
      <w:r>
        <w:rPr>
          <w:lang w:eastAsia="ko-KR"/>
        </w:rPr>
        <w:t>.</w:t>
      </w:r>
      <w:r>
        <w:rPr>
          <w:rFonts w:hint="eastAsia"/>
        </w:rPr>
        <w:t xml:space="preserve"> </w:t>
      </w:r>
    </w:p>
    <w:p w14:paraId="59333E7A" w14:textId="77777777" w:rsidR="0073281B" w:rsidRDefault="0073281B" w:rsidP="0073281B">
      <w:pPr>
        <w:pStyle w:val="ListParagraph"/>
        <w:numPr>
          <w:ilvl w:val="1"/>
          <w:numId w:val="37"/>
        </w:numPr>
        <w:overflowPunct w:val="0"/>
        <w:autoSpaceDE w:val="0"/>
        <w:autoSpaceDN w:val="0"/>
        <w:adjustRightInd w:val="0"/>
        <w:spacing w:after="180"/>
        <w:ind w:leftChars="0"/>
        <w:contextualSpacing/>
        <w:textAlignment w:val="baseline"/>
      </w:pPr>
      <w:r>
        <w:rPr>
          <w:lang w:eastAsia="ko-KR"/>
        </w:rPr>
        <w:t>The mapping with the values of HPN in SCI is fixed for a TB,</w:t>
      </w:r>
      <w:r>
        <w:t xml:space="preserve"> and is up to UE implementation.</w:t>
      </w:r>
    </w:p>
    <w:p w14:paraId="1DF0BDE4" w14:textId="77777777" w:rsidR="0073281B" w:rsidRPr="0073281B" w:rsidRDefault="0073281B" w:rsidP="0073281B">
      <w:pPr>
        <w:rPr>
          <w:rFonts w:ascii="Times New Roman" w:hAnsi="Times New Roman" w:cs="Times New Roman"/>
          <w:sz w:val="20"/>
          <w:lang w:eastAsia="ko-KR"/>
        </w:rPr>
      </w:pPr>
      <w:r w:rsidRPr="0073281B">
        <w:rPr>
          <w:rFonts w:ascii="Times New Roman" w:hAnsi="Times New Roman" w:cs="Times New Roman"/>
          <w:sz w:val="20"/>
          <w:u w:val="single"/>
          <w:lang w:eastAsia="ko-KR"/>
        </w:rPr>
        <w:t>Note</w:t>
      </w:r>
      <w:r w:rsidRPr="0073281B">
        <w:rPr>
          <w:rFonts w:ascii="Times New Roman" w:hAnsi="Times New Roman" w:cs="Times New Roman"/>
          <w:sz w:val="20"/>
          <w:lang w:eastAsia="ko-KR"/>
        </w:rPr>
        <w:t>: This corresponds to the HARQ process ID for the interaction between gNB and UE, if any distinction is made.</w:t>
      </w:r>
    </w:p>
    <w:p w14:paraId="37B19910" w14:textId="77777777" w:rsidR="0073281B" w:rsidRPr="0073281B" w:rsidRDefault="0073281B" w:rsidP="0073281B">
      <w:pPr>
        <w:rPr>
          <w:rFonts w:ascii="Times New Roman" w:hAnsi="Times New Roman" w:cs="Times New Roman"/>
          <w:sz w:val="20"/>
          <w:lang w:eastAsia="ko-KR"/>
        </w:rPr>
      </w:pPr>
      <w:r w:rsidRPr="0073281B">
        <w:rPr>
          <w:rFonts w:ascii="Times New Roman" w:hAnsi="Times New Roman" w:cs="Times New Roman"/>
          <w:sz w:val="20"/>
          <w:u w:val="single"/>
          <w:lang w:eastAsia="ko-KR"/>
        </w:rPr>
        <w:t>Note</w:t>
      </w:r>
      <w:r w:rsidRPr="0073281B">
        <w:rPr>
          <w:rFonts w:ascii="Times New Roman" w:hAnsi="Times New Roman" w:cs="Times New Roman"/>
          <w:sz w:val="20"/>
          <w:lang w:eastAsia="ko-KR"/>
        </w:rPr>
        <w:t>: if the principle itself is agreeable, we can then discuss any need for modifications, possibly as part of the TP drafting phase.</w:t>
      </w:r>
    </w:p>
    <w:p w14:paraId="33F28706" w14:textId="095B89D5" w:rsidR="0073281B" w:rsidRDefault="0073281B" w:rsidP="009458BE">
      <w:pPr>
        <w:pStyle w:val="BodyText"/>
        <w:spacing w:after="240"/>
        <w:rPr>
          <w:rFonts w:eastAsiaTheme="minorEastAsia"/>
          <w:color w:val="auto"/>
          <w:sz w:val="20"/>
        </w:rPr>
      </w:pPr>
    </w:p>
    <w:p w14:paraId="17C3710B" w14:textId="19AC5C89" w:rsidR="0073281B" w:rsidRDefault="0073281B" w:rsidP="009458BE">
      <w:pPr>
        <w:pStyle w:val="BodyText"/>
        <w:spacing w:after="240"/>
        <w:rPr>
          <w:rFonts w:eastAsiaTheme="minorEastAsia"/>
          <w:color w:val="auto"/>
          <w:sz w:val="20"/>
        </w:rPr>
      </w:pPr>
      <w:r>
        <w:rPr>
          <w:rFonts w:eastAsiaTheme="minorEastAsia"/>
          <w:color w:val="auto"/>
          <w:sz w:val="20"/>
        </w:rPr>
        <w:t xml:space="preserve">Furthermore, the following agreements were achieved in the email discussion </w:t>
      </w:r>
      <w:r w:rsidRPr="0073281B">
        <w:rPr>
          <w:rFonts w:eastAsiaTheme="minorEastAsia"/>
          <w:color w:val="auto"/>
          <w:sz w:val="20"/>
        </w:rPr>
        <w:t>[100b-e-NR-5G_V2X_NRSL-Mode-1-01]</w:t>
      </w:r>
    </w:p>
    <w:p w14:paraId="5582AFFD" w14:textId="77777777" w:rsidR="0073281B" w:rsidRPr="0073281B" w:rsidRDefault="0073281B" w:rsidP="0073281B">
      <w:pPr>
        <w:rPr>
          <w:rFonts w:ascii="Times New Roman" w:hAnsi="Times New Roman" w:cs="Times New Roman"/>
          <w:sz w:val="20"/>
          <w:szCs w:val="20"/>
          <w:highlight w:val="green"/>
          <w:lang w:eastAsia="ja-JP"/>
        </w:rPr>
      </w:pPr>
      <w:r w:rsidRPr="0073281B">
        <w:rPr>
          <w:rFonts w:ascii="Times New Roman" w:hAnsi="Times New Roman" w:cs="Times New Roman"/>
          <w:sz w:val="20"/>
          <w:szCs w:val="20"/>
          <w:highlight w:val="green"/>
          <w:lang w:eastAsia="ja-JP"/>
        </w:rPr>
        <w:t>Agreements:</w:t>
      </w:r>
    </w:p>
    <w:p w14:paraId="11A660DE" w14:textId="77777777" w:rsidR="0073281B" w:rsidRPr="0073281B" w:rsidRDefault="0073281B" w:rsidP="0073281B">
      <w:pPr>
        <w:numPr>
          <w:ilvl w:val="0"/>
          <w:numId w:val="40"/>
        </w:numPr>
        <w:jc w:val="left"/>
        <w:rPr>
          <w:rFonts w:ascii="Times New Roman" w:hAnsi="Times New Roman" w:cs="Times New Roman"/>
          <w:sz w:val="20"/>
          <w:szCs w:val="20"/>
        </w:rPr>
      </w:pPr>
      <w:r w:rsidRPr="0073281B">
        <w:rPr>
          <w:rFonts w:ascii="Times New Roman" w:hAnsi="Times New Roman" w:cs="Times New Roman"/>
          <w:sz w:val="20"/>
          <w:szCs w:val="20"/>
        </w:rPr>
        <w:t xml:space="preserve">The slots for sidelink transmission for CG type-1 are determined using the UL formula in 38.321 with the following changes: </w:t>
      </w:r>
    </w:p>
    <w:p w14:paraId="36DEE3F7" w14:textId="77777777" w:rsidR="0073281B" w:rsidRPr="0073281B" w:rsidRDefault="0073281B" w:rsidP="0073281B">
      <w:pPr>
        <w:numPr>
          <w:ilvl w:val="1"/>
          <w:numId w:val="40"/>
        </w:numPr>
        <w:jc w:val="left"/>
        <w:rPr>
          <w:rFonts w:ascii="Times New Roman" w:hAnsi="Times New Roman" w:cs="Times New Roman"/>
          <w:sz w:val="20"/>
          <w:szCs w:val="20"/>
        </w:rPr>
      </w:pPr>
      <w:r w:rsidRPr="0073281B">
        <w:rPr>
          <w:rFonts w:ascii="Times New Roman" w:hAnsi="Times New Roman" w:cs="Times New Roman"/>
          <w:sz w:val="20"/>
          <w:szCs w:val="20"/>
        </w:rPr>
        <w:t xml:space="preserve">Using slot-level granularity instead of symbol-level granularity (i.e., remove </w:t>
      </w:r>
      <w:proofErr w:type="spellStart"/>
      <w:r w:rsidRPr="0073281B">
        <w:rPr>
          <w:rFonts w:ascii="Times New Roman" w:hAnsi="Times New Roman" w:cs="Times New Roman"/>
          <w:i/>
          <w:iCs/>
          <w:sz w:val="20"/>
          <w:szCs w:val="20"/>
          <w:lang w:eastAsia="ko-KR"/>
        </w:rPr>
        <w:t>numberOfSymbolsPerSlot</w:t>
      </w:r>
      <w:proofErr w:type="spellEnd"/>
      <w:r w:rsidRPr="0073281B">
        <w:rPr>
          <w:rFonts w:ascii="Times New Roman" w:hAnsi="Times New Roman" w:cs="Times New Roman"/>
          <w:sz w:val="20"/>
          <w:szCs w:val="20"/>
          <w:lang w:eastAsia="ko-KR"/>
        </w:rPr>
        <w:t>, “symbol number in the slot”, S in the formula)</w:t>
      </w:r>
    </w:p>
    <w:p w14:paraId="1FDC40DE" w14:textId="77777777" w:rsidR="0073281B" w:rsidRPr="0073281B" w:rsidRDefault="0073281B" w:rsidP="0073281B">
      <w:pPr>
        <w:numPr>
          <w:ilvl w:val="1"/>
          <w:numId w:val="40"/>
        </w:numPr>
        <w:jc w:val="left"/>
        <w:rPr>
          <w:rFonts w:ascii="Times New Roman" w:hAnsi="Times New Roman" w:cs="Times New Roman"/>
          <w:sz w:val="20"/>
          <w:szCs w:val="20"/>
        </w:rPr>
      </w:pPr>
      <w:r w:rsidRPr="0073281B">
        <w:rPr>
          <w:rFonts w:ascii="Times New Roman" w:hAnsi="Times New Roman" w:cs="Times New Roman"/>
          <w:i/>
          <w:iCs/>
          <w:sz w:val="20"/>
          <w:szCs w:val="20"/>
          <w:lang w:eastAsia="ko-KR"/>
        </w:rPr>
        <w:t>periodicity</w:t>
      </w:r>
      <w:r w:rsidRPr="0073281B">
        <w:rPr>
          <w:rFonts w:ascii="Times New Roman" w:hAnsi="Times New Roman" w:cs="Times New Roman"/>
          <w:sz w:val="20"/>
          <w:szCs w:val="20"/>
          <w:lang w:eastAsia="ko-KR"/>
        </w:rPr>
        <w:t xml:space="preserve"> is in number of slots</w:t>
      </w:r>
    </w:p>
    <w:p w14:paraId="5FB138B9" w14:textId="77777777" w:rsidR="0073281B" w:rsidRPr="0073281B" w:rsidRDefault="0073281B" w:rsidP="0073281B">
      <w:pPr>
        <w:numPr>
          <w:ilvl w:val="1"/>
          <w:numId w:val="40"/>
        </w:numPr>
        <w:jc w:val="left"/>
        <w:rPr>
          <w:rFonts w:ascii="Times New Roman" w:hAnsi="Times New Roman" w:cs="Times New Roman"/>
          <w:sz w:val="20"/>
          <w:szCs w:val="20"/>
        </w:rPr>
      </w:pPr>
      <w:proofErr w:type="spellStart"/>
      <w:r w:rsidRPr="0073281B">
        <w:rPr>
          <w:rFonts w:ascii="Times New Roman" w:hAnsi="Times New Roman" w:cs="Times New Roman"/>
          <w:i/>
          <w:iCs/>
          <w:sz w:val="20"/>
          <w:szCs w:val="20"/>
          <w:lang w:eastAsia="ko-KR"/>
        </w:rPr>
        <w:t>timeDomainOffset</w:t>
      </w:r>
      <w:proofErr w:type="spellEnd"/>
      <w:r w:rsidRPr="0073281B">
        <w:rPr>
          <w:rFonts w:ascii="Times New Roman" w:hAnsi="Times New Roman" w:cs="Times New Roman"/>
          <w:sz w:val="20"/>
          <w:szCs w:val="20"/>
          <w:lang w:eastAsia="ko-KR"/>
        </w:rPr>
        <w:t xml:space="preserve"> is expressed in number of slots</w:t>
      </w:r>
    </w:p>
    <w:p w14:paraId="2CD9F444" w14:textId="77777777" w:rsidR="0073281B" w:rsidRPr="0073281B" w:rsidRDefault="0073281B" w:rsidP="0073281B">
      <w:pPr>
        <w:numPr>
          <w:ilvl w:val="1"/>
          <w:numId w:val="40"/>
        </w:numPr>
        <w:jc w:val="left"/>
        <w:rPr>
          <w:rFonts w:ascii="Times New Roman" w:hAnsi="Times New Roman" w:cs="Times New Roman"/>
          <w:sz w:val="20"/>
          <w:szCs w:val="20"/>
        </w:rPr>
      </w:pPr>
      <w:r w:rsidRPr="0073281B">
        <w:rPr>
          <w:rFonts w:ascii="Times New Roman" w:hAnsi="Times New Roman" w:cs="Times New Roman"/>
          <w:sz w:val="20"/>
          <w:szCs w:val="20"/>
        </w:rPr>
        <w:t>FFS: frame indexing (e.g., SFN, or virtual frame number)</w:t>
      </w:r>
    </w:p>
    <w:p w14:paraId="407C8D20" w14:textId="77777777" w:rsidR="0073281B" w:rsidRPr="0073281B" w:rsidRDefault="0073281B" w:rsidP="0073281B">
      <w:pPr>
        <w:numPr>
          <w:ilvl w:val="1"/>
          <w:numId w:val="40"/>
        </w:numPr>
        <w:jc w:val="left"/>
        <w:rPr>
          <w:rFonts w:ascii="Times New Roman" w:hAnsi="Times New Roman" w:cs="Times New Roman"/>
          <w:sz w:val="20"/>
          <w:szCs w:val="20"/>
        </w:rPr>
      </w:pPr>
      <w:r w:rsidRPr="0073281B">
        <w:rPr>
          <w:rFonts w:ascii="Times New Roman" w:hAnsi="Times New Roman" w:cs="Times New Roman"/>
          <w:sz w:val="20"/>
          <w:szCs w:val="20"/>
        </w:rPr>
        <w:t>FFS: whether logical or physical slots are used</w:t>
      </w:r>
    </w:p>
    <w:p w14:paraId="0301849C" w14:textId="77777777" w:rsidR="0073281B" w:rsidRPr="0073281B" w:rsidRDefault="0073281B" w:rsidP="0073281B">
      <w:pPr>
        <w:rPr>
          <w:rFonts w:ascii="Times New Roman" w:hAnsi="Times New Roman" w:cs="Times New Roman"/>
          <w:sz w:val="20"/>
          <w:szCs w:val="20"/>
          <w:highlight w:val="green"/>
        </w:rPr>
      </w:pPr>
      <w:r w:rsidRPr="0073281B">
        <w:rPr>
          <w:rFonts w:ascii="Times New Roman" w:hAnsi="Times New Roman" w:cs="Times New Roman"/>
          <w:sz w:val="20"/>
          <w:szCs w:val="20"/>
          <w:highlight w:val="green"/>
        </w:rPr>
        <w:t>Agreements:</w:t>
      </w:r>
    </w:p>
    <w:p w14:paraId="6C490F6A" w14:textId="77777777" w:rsidR="0073281B" w:rsidRPr="0073281B" w:rsidRDefault="0073281B" w:rsidP="0073281B">
      <w:pPr>
        <w:numPr>
          <w:ilvl w:val="0"/>
          <w:numId w:val="38"/>
        </w:numPr>
        <w:jc w:val="left"/>
        <w:rPr>
          <w:rFonts w:ascii="Times New Roman" w:hAnsi="Times New Roman" w:cs="Times New Roman"/>
          <w:sz w:val="20"/>
          <w:szCs w:val="20"/>
        </w:rPr>
      </w:pPr>
      <w:r w:rsidRPr="0073281B">
        <w:rPr>
          <w:rFonts w:ascii="Times New Roman" w:hAnsi="Times New Roman" w:cs="Times New Roman"/>
          <w:sz w:val="20"/>
          <w:szCs w:val="20"/>
        </w:rPr>
        <w:t xml:space="preserve">For CG, the periodicities supported are the same as for periodic resource reservation in Mode-2 (i.e., the list given by </w:t>
      </w:r>
      <w:r w:rsidRPr="0073281B">
        <w:rPr>
          <w:rFonts w:ascii="Times New Roman" w:hAnsi="Times New Roman" w:cs="Times New Roman"/>
          <w:i/>
          <w:iCs/>
          <w:sz w:val="20"/>
          <w:szCs w:val="20"/>
        </w:rPr>
        <w:t>SL-ResourceReservePeriod-r16</w:t>
      </w:r>
      <w:r w:rsidRPr="0073281B">
        <w:rPr>
          <w:rFonts w:ascii="Times New Roman" w:hAnsi="Times New Roman" w:cs="Times New Roman"/>
          <w:sz w:val="20"/>
          <w:szCs w:val="20"/>
        </w:rPr>
        <w:t>)</w:t>
      </w:r>
    </w:p>
    <w:p w14:paraId="49E13EEF" w14:textId="77777777" w:rsidR="0073281B" w:rsidRDefault="0073281B" w:rsidP="0073281B"/>
    <w:p w14:paraId="0466C61F" w14:textId="13A8CCCB" w:rsidR="0073281B" w:rsidRDefault="001F604D" w:rsidP="009458BE">
      <w:pPr>
        <w:pStyle w:val="BodyText"/>
        <w:spacing w:after="240"/>
        <w:rPr>
          <w:rFonts w:eastAsiaTheme="minorEastAsia"/>
          <w:color w:val="auto"/>
          <w:sz w:val="20"/>
        </w:rPr>
      </w:pPr>
      <w:r>
        <w:rPr>
          <w:rFonts w:eastAsiaTheme="minorEastAsia"/>
          <w:color w:val="auto"/>
          <w:sz w:val="20"/>
        </w:rPr>
        <w:t xml:space="preserve">From RAN1’s perspective, </w:t>
      </w:r>
      <w:r w:rsidR="0073281B">
        <w:rPr>
          <w:rFonts w:eastAsiaTheme="minorEastAsia"/>
          <w:color w:val="auto"/>
          <w:sz w:val="20"/>
        </w:rPr>
        <w:t xml:space="preserve">the </w:t>
      </w:r>
      <w:r>
        <w:rPr>
          <w:rFonts w:eastAsiaTheme="minorEastAsia"/>
          <w:color w:val="auto"/>
          <w:sz w:val="20"/>
        </w:rPr>
        <w:t xml:space="preserve">HARQ process ID calculation of SL </w:t>
      </w:r>
      <w:r w:rsidR="0073281B">
        <w:rPr>
          <w:rFonts w:eastAsiaTheme="minorEastAsia"/>
          <w:color w:val="auto"/>
          <w:sz w:val="20"/>
        </w:rPr>
        <w:t xml:space="preserve">configured grant </w:t>
      </w:r>
      <w:r>
        <w:rPr>
          <w:rFonts w:eastAsiaTheme="minorEastAsia"/>
          <w:color w:val="auto"/>
          <w:sz w:val="20"/>
        </w:rPr>
        <w:t xml:space="preserve">can reuse the formula of </w:t>
      </w:r>
      <w:proofErr w:type="spellStart"/>
      <w:r>
        <w:rPr>
          <w:rFonts w:eastAsiaTheme="minorEastAsia"/>
          <w:color w:val="auto"/>
          <w:sz w:val="20"/>
        </w:rPr>
        <w:t>IIoT</w:t>
      </w:r>
      <w:proofErr w:type="spellEnd"/>
      <w:r>
        <w:rPr>
          <w:rFonts w:eastAsiaTheme="minorEastAsia"/>
          <w:color w:val="auto"/>
          <w:sz w:val="20"/>
        </w:rPr>
        <w:t xml:space="preserve"> equation, while some modification is needed.</w:t>
      </w:r>
    </w:p>
    <w:p w14:paraId="2654DF27" w14:textId="77777777" w:rsidR="001F604D" w:rsidRDefault="001F604D" w:rsidP="001F604D">
      <w:pPr>
        <w:pBdr>
          <w:top w:val="single" w:sz="4" w:space="1" w:color="auto"/>
          <w:left w:val="single" w:sz="4" w:space="4" w:color="auto"/>
          <w:bottom w:val="single" w:sz="4" w:space="1" w:color="auto"/>
          <w:right w:val="single" w:sz="4" w:space="4" w:color="auto"/>
        </w:pBdr>
        <w:spacing w:after="120"/>
        <w:ind w:leftChars="213" w:left="447" w:rightChars="113" w:right="237"/>
        <w:jc w:val="center"/>
      </w:pPr>
      <w:r>
        <w:rPr>
          <w:lang w:eastAsia="ko-KR"/>
        </w:rPr>
        <w:t>HARQ Process ID = [</w:t>
      </w:r>
      <w:proofErr w:type="gramStart"/>
      <w:r>
        <w:rPr>
          <w:lang w:eastAsia="ko-KR"/>
        </w:rPr>
        <w:t>floor(</w:t>
      </w:r>
      <w:proofErr w:type="spellStart"/>
      <w:proofErr w:type="gramEnd"/>
      <w:r>
        <w:rPr>
          <w:lang w:eastAsia="ko-KR"/>
        </w:rPr>
        <w:t>CURRENT_symbol</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4DC554D9" w14:textId="77777777" w:rsidR="001F604D" w:rsidRPr="001F604D" w:rsidRDefault="001F604D" w:rsidP="009458BE">
      <w:pPr>
        <w:pStyle w:val="BodyText"/>
        <w:spacing w:after="240"/>
        <w:rPr>
          <w:rFonts w:eastAsiaTheme="minorEastAsia"/>
          <w:color w:val="auto"/>
          <w:sz w:val="20"/>
        </w:rPr>
      </w:pPr>
    </w:p>
    <w:p w14:paraId="62EF9001" w14:textId="2DE9FD0A" w:rsidR="001F604D" w:rsidRDefault="001F604D" w:rsidP="001F604D">
      <w:pPr>
        <w:pStyle w:val="BodyText"/>
        <w:numPr>
          <w:ilvl w:val="0"/>
          <w:numId w:val="41"/>
        </w:numPr>
        <w:spacing w:after="240"/>
        <w:rPr>
          <w:rFonts w:eastAsiaTheme="minorEastAsia"/>
          <w:color w:val="auto"/>
          <w:sz w:val="20"/>
        </w:rPr>
      </w:pPr>
      <w:r>
        <w:rPr>
          <w:rFonts w:eastAsiaTheme="minorEastAsia"/>
          <w:color w:val="auto"/>
          <w:sz w:val="20"/>
        </w:rPr>
        <w:lastRenderedPageBreak/>
        <w:t xml:space="preserve">Slot-level, instead of symbol-level, is applied to SL configured grant resource. </w:t>
      </w:r>
      <w:proofErr w:type="spellStart"/>
      <w:r>
        <w:rPr>
          <w:rFonts w:eastAsiaTheme="minorEastAsia"/>
          <w:color w:val="auto"/>
          <w:sz w:val="20"/>
        </w:rPr>
        <w:t>CURRENT</w:t>
      </w:r>
      <w:r w:rsidR="00A05543">
        <w:rPr>
          <w:rFonts w:eastAsiaTheme="minorEastAsia"/>
          <w:color w:val="auto"/>
          <w:sz w:val="20"/>
        </w:rPr>
        <w:t>_symbol</w:t>
      </w:r>
      <w:proofErr w:type="spellEnd"/>
      <w:r w:rsidR="00A05543">
        <w:rPr>
          <w:rFonts w:eastAsiaTheme="minorEastAsia"/>
          <w:color w:val="auto"/>
          <w:sz w:val="20"/>
        </w:rPr>
        <w:t xml:space="preserve"> should be changed to </w:t>
      </w:r>
      <w:proofErr w:type="spellStart"/>
      <w:r w:rsidR="00A05543">
        <w:rPr>
          <w:rFonts w:eastAsiaTheme="minorEastAsia"/>
          <w:color w:val="auto"/>
          <w:sz w:val="20"/>
        </w:rPr>
        <w:t>CURRENT_slot</w:t>
      </w:r>
      <w:proofErr w:type="spellEnd"/>
    </w:p>
    <w:p w14:paraId="103ACB4C" w14:textId="55B4FC62" w:rsidR="0073281B" w:rsidRPr="00266243" w:rsidRDefault="00266243" w:rsidP="00056606">
      <w:pPr>
        <w:pStyle w:val="BodyText"/>
        <w:numPr>
          <w:ilvl w:val="0"/>
          <w:numId w:val="41"/>
        </w:numPr>
        <w:spacing w:after="240"/>
        <w:rPr>
          <w:rFonts w:eastAsiaTheme="minorEastAsia"/>
          <w:color w:val="auto"/>
          <w:sz w:val="20"/>
        </w:rPr>
      </w:pPr>
      <w:proofErr w:type="spellStart"/>
      <w:r w:rsidRPr="00266243">
        <w:rPr>
          <w:color w:val="auto"/>
          <w:lang w:eastAsia="ko-KR"/>
        </w:rPr>
        <w:t>CURRENT_slot</w:t>
      </w:r>
      <w:proofErr w:type="spellEnd"/>
      <w:r w:rsidRPr="00266243">
        <w:rPr>
          <w:color w:val="auto"/>
          <w:lang w:eastAsia="ko-KR"/>
        </w:rPr>
        <w:t xml:space="preserve"> = (SFN × </w:t>
      </w:r>
      <w:proofErr w:type="spellStart"/>
      <w:r w:rsidRPr="00266243">
        <w:rPr>
          <w:i/>
          <w:color w:val="auto"/>
          <w:lang w:eastAsia="ko-KR"/>
        </w:rPr>
        <w:t>numberOfSlotsPerFrame</w:t>
      </w:r>
      <w:proofErr w:type="spellEnd"/>
      <w:r w:rsidRPr="00266243">
        <w:rPr>
          <w:color w:val="auto"/>
          <w:lang w:eastAsia="ko-KR"/>
        </w:rPr>
        <w:t xml:space="preserve">) + slot number in the frame. </w:t>
      </w:r>
      <w:proofErr w:type="spellStart"/>
      <w:r w:rsidRPr="00266243">
        <w:rPr>
          <w:color w:val="auto"/>
          <w:lang w:eastAsia="ko-KR"/>
        </w:rPr>
        <w:t>CURRENT_slot</w:t>
      </w:r>
      <w:proofErr w:type="spellEnd"/>
      <w:r w:rsidRPr="00266243">
        <w:rPr>
          <w:color w:val="auto"/>
          <w:lang w:eastAsia="ko-KR"/>
        </w:rPr>
        <w:t xml:space="preserve"> corresponds to the slot of SL configured grant resource. </w:t>
      </w:r>
    </w:p>
    <w:p w14:paraId="1B43324A" w14:textId="60320747" w:rsidR="00266243" w:rsidRPr="00AD3B7D" w:rsidRDefault="00266243" w:rsidP="00056606">
      <w:pPr>
        <w:pStyle w:val="BodyText"/>
        <w:numPr>
          <w:ilvl w:val="0"/>
          <w:numId w:val="41"/>
        </w:numPr>
        <w:spacing w:after="240"/>
        <w:rPr>
          <w:rFonts w:eastAsiaTheme="minorEastAsia"/>
          <w:color w:val="auto"/>
          <w:sz w:val="20"/>
        </w:rPr>
      </w:pPr>
      <w:r>
        <w:rPr>
          <w:color w:val="auto"/>
        </w:rPr>
        <w:t xml:space="preserve">Periodicity is the SL configured grant period, in unit of </w:t>
      </w:r>
      <w:r w:rsidR="00AD3B7D">
        <w:rPr>
          <w:color w:val="auto"/>
        </w:rPr>
        <w:t xml:space="preserve">SL </w:t>
      </w:r>
      <w:r>
        <w:rPr>
          <w:color w:val="auto"/>
        </w:rPr>
        <w:t>physical slot</w:t>
      </w:r>
      <w:r w:rsidR="00AD3B7D">
        <w:rPr>
          <w:color w:val="auto"/>
        </w:rPr>
        <w:t xml:space="preserve">s. </w:t>
      </w:r>
    </w:p>
    <w:p w14:paraId="7A4E166A" w14:textId="7B7BAE35" w:rsidR="00AD3B7D" w:rsidRPr="00AB32BB" w:rsidRDefault="00AD3B7D" w:rsidP="00AB32BB">
      <w:pPr>
        <w:pStyle w:val="BodyText"/>
        <w:spacing w:after="120"/>
        <w:rPr>
          <w:rFonts w:eastAsiaTheme="minorEastAsia"/>
          <w:b/>
          <w:i/>
          <w:iCs/>
          <w:color w:val="auto"/>
          <w:sz w:val="20"/>
        </w:rPr>
      </w:pPr>
      <w:r w:rsidRPr="00AB32BB">
        <w:rPr>
          <w:rFonts w:hint="eastAsia"/>
          <w:b/>
          <w:i/>
          <w:iCs/>
          <w:color w:val="auto"/>
        </w:rPr>
        <w:t>P</w:t>
      </w:r>
      <w:r w:rsidRPr="00AB32BB">
        <w:rPr>
          <w:b/>
          <w:i/>
          <w:iCs/>
          <w:color w:val="auto"/>
        </w:rPr>
        <w:t xml:space="preserve">roposal 1: The </w:t>
      </w:r>
      <w:r w:rsidRPr="00AB32BB">
        <w:rPr>
          <w:rFonts w:eastAsiaTheme="minorEastAsia"/>
          <w:b/>
          <w:i/>
          <w:iCs/>
          <w:color w:val="auto"/>
          <w:sz w:val="20"/>
        </w:rPr>
        <w:t xml:space="preserve">HARQ process ID calculation of SL configured grant can reuse the formula of </w:t>
      </w:r>
      <w:proofErr w:type="spellStart"/>
      <w:r w:rsidRPr="00AB32BB">
        <w:rPr>
          <w:rFonts w:eastAsiaTheme="minorEastAsia"/>
          <w:b/>
          <w:i/>
          <w:iCs/>
          <w:color w:val="auto"/>
          <w:sz w:val="20"/>
        </w:rPr>
        <w:t>IIoT</w:t>
      </w:r>
      <w:proofErr w:type="spellEnd"/>
      <w:r w:rsidRPr="00AB32BB">
        <w:rPr>
          <w:rFonts w:eastAsiaTheme="minorEastAsia"/>
          <w:b/>
          <w:i/>
          <w:iCs/>
          <w:color w:val="auto"/>
          <w:sz w:val="20"/>
        </w:rPr>
        <w:t xml:space="preserve"> equation, with the following modification:</w:t>
      </w:r>
    </w:p>
    <w:p w14:paraId="14F38D57" w14:textId="703C54F6" w:rsidR="00AD3B7D" w:rsidRPr="00AB32BB" w:rsidRDefault="00AD3B7D" w:rsidP="00AB32BB">
      <w:pPr>
        <w:pStyle w:val="BodyText"/>
        <w:numPr>
          <w:ilvl w:val="0"/>
          <w:numId w:val="42"/>
        </w:numPr>
        <w:spacing w:after="120"/>
        <w:ind w:left="851"/>
        <w:rPr>
          <w:rFonts w:eastAsiaTheme="minorEastAsia"/>
          <w:b/>
          <w:i/>
          <w:iCs/>
          <w:color w:val="auto"/>
          <w:sz w:val="20"/>
        </w:rPr>
      </w:pPr>
      <w:proofErr w:type="spellStart"/>
      <w:r w:rsidRPr="00AB32BB">
        <w:rPr>
          <w:rFonts w:eastAsiaTheme="minorEastAsia"/>
          <w:b/>
          <w:i/>
          <w:iCs/>
          <w:color w:val="auto"/>
          <w:sz w:val="20"/>
        </w:rPr>
        <w:t>CURRENT_symbol</w:t>
      </w:r>
      <w:proofErr w:type="spellEnd"/>
      <w:r w:rsidRPr="00AB32BB">
        <w:rPr>
          <w:rFonts w:eastAsiaTheme="minorEastAsia"/>
          <w:b/>
          <w:i/>
          <w:iCs/>
          <w:color w:val="auto"/>
          <w:sz w:val="20"/>
        </w:rPr>
        <w:t xml:space="preserve"> is replaced by </w:t>
      </w:r>
      <w:proofErr w:type="spellStart"/>
      <w:r w:rsidRPr="00AB32BB">
        <w:rPr>
          <w:rFonts w:eastAsiaTheme="minorEastAsia"/>
          <w:b/>
          <w:i/>
          <w:iCs/>
          <w:color w:val="auto"/>
          <w:sz w:val="20"/>
        </w:rPr>
        <w:t>CURRENT_slot</w:t>
      </w:r>
      <w:proofErr w:type="spellEnd"/>
      <w:r w:rsidRPr="00AB32BB">
        <w:rPr>
          <w:rFonts w:eastAsiaTheme="minorEastAsia"/>
          <w:b/>
          <w:i/>
          <w:iCs/>
          <w:color w:val="auto"/>
          <w:sz w:val="20"/>
        </w:rPr>
        <w:t xml:space="preserve">, where </w:t>
      </w:r>
      <w:proofErr w:type="spellStart"/>
      <w:r w:rsidRPr="00AB32BB">
        <w:rPr>
          <w:rFonts w:eastAsiaTheme="minorEastAsia" w:hint="eastAsia"/>
          <w:b/>
          <w:i/>
          <w:iCs/>
          <w:color w:val="auto"/>
          <w:sz w:val="20"/>
        </w:rPr>
        <w:t>C</w:t>
      </w:r>
      <w:r w:rsidRPr="00AB32BB">
        <w:rPr>
          <w:rFonts w:eastAsiaTheme="minorEastAsia"/>
          <w:b/>
          <w:i/>
          <w:iCs/>
          <w:color w:val="auto"/>
          <w:sz w:val="20"/>
        </w:rPr>
        <w:t>URRENT_slot</w:t>
      </w:r>
      <w:proofErr w:type="spellEnd"/>
      <w:r w:rsidRPr="00AB32BB">
        <w:rPr>
          <w:rFonts w:eastAsiaTheme="minorEastAsia"/>
          <w:b/>
          <w:i/>
          <w:iCs/>
          <w:color w:val="auto"/>
          <w:sz w:val="20"/>
        </w:rPr>
        <w:t xml:space="preserve"> </w:t>
      </w:r>
      <w:r w:rsidRPr="00AB32BB">
        <w:rPr>
          <w:b/>
          <w:i/>
          <w:iCs/>
          <w:color w:val="auto"/>
          <w:lang w:eastAsia="ko-KR"/>
        </w:rPr>
        <w:t>corresponds to the slot of SL configured grant resource</w:t>
      </w:r>
      <w:r w:rsidRPr="00AB32BB">
        <w:rPr>
          <w:rFonts w:eastAsiaTheme="minorEastAsia"/>
          <w:b/>
          <w:i/>
          <w:iCs/>
          <w:color w:val="auto"/>
          <w:sz w:val="20"/>
        </w:rPr>
        <w:t xml:space="preserve">, and </w:t>
      </w:r>
      <w:proofErr w:type="spellStart"/>
      <w:r w:rsidRPr="00AB32BB">
        <w:rPr>
          <w:rFonts w:eastAsiaTheme="minorEastAsia"/>
          <w:b/>
          <w:i/>
          <w:iCs/>
          <w:color w:val="auto"/>
          <w:sz w:val="20"/>
        </w:rPr>
        <w:t>CURRENT_slot</w:t>
      </w:r>
      <w:proofErr w:type="spellEnd"/>
      <w:r w:rsidRPr="00AB32BB">
        <w:rPr>
          <w:rFonts w:eastAsiaTheme="minorEastAsia"/>
          <w:b/>
          <w:i/>
          <w:iCs/>
          <w:color w:val="auto"/>
          <w:sz w:val="20"/>
        </w:rPr>
        <w:t xml:space="preserve"> = </w:t>
      </w:r>
      <w:r w:rsidRPr="00AB32BB">
        <w:rPr>
          <w:b/>
          <w:i/>
          <w:iCs/>
          <w:color w:val="auto"/>
          <w:lang w:eastAsia="ko-KR"/>
        </w:rPr>
        <w:t xml:space="preserve">(SFN × </w:t>
      </w:r>
      <w:proofErr w:type="spellStart"/>
      <w:r w:rsidRPr="00AB32BB">
        <w:rPr>
          <w:b/>
          <w:i/>
          <w:iCs/>
          <w:color w:val="auto"/>
          <w:lang w:eastAsia="ko-KR"/>
        </w:rPr>
        <w:t>numberOfSlotsPerFrame</w:t>
      </w:r>
      <w:proofErr w:type="spellEnd"/>
      <w:r w:rsidRPr="00AB32BB">
        <w:rPr>
          <w:b/>
          <w:i/>
          <w:iCs/>
          <w:color w:val="auto"/>
          <w:lang w:eastAsia="ko-KR"/>
        </w:rPr>
        <w:t xml:space="preserve">) + slot number in the frame. </w:t>
      </w:r>
      <w:proofErr w:type="spellStart"/>
      <w:r w:rsidRPr="00AB32BB">
        <w:rPr>
          <w:b/>
          <w:i/>
          <w:iCs/>
          <w:color w:val="auto"/>
          <w:lang w:eastAsia="ko-KR"/>
        </w:rPr>
        <w:t>CURRENT_slot</w:t>
      </w:r>
      <w:proofErr w:type="spellEnd"/>
      <w:r w:rsidRPr="00AB32BB">
        <w:rPr>
          <w:b/>
          <w:i/>
          <w:iCs/>
          <w:color w:val="auto"/>
          <w:lang w:eastAsia="ko-KR"/>
        </w:rPr>
        <w:t xml:space="preserve"> corresponds to the slot of SL configured grant resource.</w:t>
      </w:r>
    </w:p>
    <w:p w14:paraId="1FAAAE08" w14:textId="0E19DC36" w:rsidR="0073281B" w:rsidRPr="00AB32BB" w:rsidRDefault="00AD3B7D" w:rsidP="00AB32BB">
      <w:pPr>
        <w:pStyle w:val="BodyText"/>
        <w:numPr>
          <w:ilvl w:val="0"/>
          <w:numId w:val="42"/>
        </w:numPr>
        <w:spacing w:after="240"/>
        <w:ind w:left="851"/>
        <w:rPr>
          <w:rFonts w:eastAsiaTheme="minorEastAsia"/>
          <w:b/>
          <w:i/>
          <w:iCs/>
          <w:color w:val="auto"/>
          <w:sz w:val="20"/>
        </w:rPr>
      </w:pPr>
      <w:r w:rsidRPr="00AB32BB">
        <w:rPr>
          <w:b/>
          <w:i/>
          <w:iCs/>
          <w:color w:val="auto"/>
        </w:rPr>
        <w:t>Periodicity is the SL configured grant period, in unit of SL physical slots</w:t>
      </w:r>
    </w:p>
    <w:p w14:paraId="672770FB" w14:textId="34CA196C" w:rsidR="00DC1E9B" w:rsidRPr="009458BE" w:rsidRDefault="00DC1E9B" w:rsidP="00DC1E9B">
      <w:pPr>
        <w:spacing w:before="240" w:after="120"/>
        <w:rPr>
          <w:b/>
          <w:i/>
          <w:color w:val="000000" w:themeColor="text1"/>
          <w:sz w:val="20"/>
          <w:szCs w:val="20"/>
          <w:u w:val="single"/>
        </w:rPr>
      </w:pPr>
      <w:r w:rsidRPr="009458BE">
        <w:rPr>
          <w:b/>
          <w:i/>
          <w:color w:val="000000" w:themeColor="text1"/>
          <w:sz w:val="20"/>
          <w:szCs w:val="20"/>
          <w:u w:val="single"/>
        </w:rPr>
        <w:t>2.</w:t>
      </w:r>
      <w:r w:rsidR="009458BE" w:rsidRPr="009458BE">
        <w:rPr>
          <w:b/>
          <w:i/>
          <w:color w:val="000000" w:themeColor="text1"/>
          <w:sz w:val="20"/>
          <w:szCs w:val="20"/>
          <w:u w:val="single"/>
        </w:rPr>
        <w:t>2</w:t>
      </w:r>
      <w:r w:rsidRPr="009458BE">
        <w:rPr>
          <w:b/>
          <w:i/>
          <w:color w:val="000000" w:themeColor="text1"/>
          <w:sz w:val="20"/>
          <w:szCs w:val="20"/>
          <w:u w:val="single"/>
        </w:rPr>
        <w:t xml:space="preserve"> MCS range for DG and CG</w:t>
      </w:r>
    </w:p>
    <w:p w14:paraId="5DD17B83" w14:textId="77777777" w:rsidR="00AB32BB" w:rsidRDefault="00AB32BB" w:rsidP="00AB32BB">
      <w:pPr>
        <w:pStyle w:val="BodyText"/>
        <w:spacing w:after="120"/>
        <w:rPr>
          <w:rFonts w:eastAsiaTheme="minorEastAsia"/>
          <w:color w:val="000000" w:themeColor="text1"/>
          <w:sz w:val="20"/>
        </w:rPr>
      </w:pPr>
      <w:r w:rsidRPr="005004DC">
        <w:rPr>
          <w:rFonts w:eastAsiaTheme="minorEastAsia"/>
          <w:color w:val="000000" w:themeColor="text1"/>
          <w:sz w:val="20"/>
        </w:rPr>
        <w:t>In the RAN2’s LS</w:t>
      </w:r>
      <w:r>
        <w:rPr>
          <w:rFonts w:eastAsiaTheme="minorEastAsia"/>
          <w:color w:val="000000" w:themeColor="text1"/>
          <w:sz w:val="20"/>
        </w:rPr>
        <w:t xml:space="preserve"> [1]</w:t>
      </w:r>
      <w:r w:rsidRPr="005004DC">
        <w:rPr>
          <w:rFonts w:eastAsiaTheme="minorEastAsia"/>
          <w:color w:val="000000" w:themeColor="text1"/>
          <w:sz w:val="20"/>
        </w:rPr>
        <w:t xml:space="preserve">, </w:t>
      </w:r>
      <w:r>
        <w:rPr>
          <w:rFonts w:eastAsiaTheme="minorEastAsia"/>
          <w:color w:val="000000" w:themeColor="text1"/>
          <w:sz w:val="20"/>
        </w:rPr>
        <w:t xml:space="preserve">they </w:t>
      </w:r>
      <w:r w:rsidRPr="005004DC">
        <w:rPr>
          <w:rFonts w:eastAsiaTheme="minorEastAsia"/>
          <w:color w:val="000000" w:themeColor="text1"/>
          <w:sz w:val="20"/>
        </w:rPr>
        <w:t>made a working assumption that “</w:t>
      </w:r>
      <w:r w:rsidRPr="005004DC">
        <w:rPr>
          <w:rFonts w:eastAsiaTheme="minorEastAsia"/>
          <w:i/>
          <w:iCs/>
          <w:color w:val="000000" w:themeColor="text1"/>
          <w:sz w:val="20"/>
        </w:rPr>
        <w:t>only one MCS range is configured applying to both dynamic grant and configured grant type 1/2; no configured grant type 1/2 specific MCS range is further needed</w:t>
      </w:r>
      <w:r w:rsidRPr="005004DC">
        <w:rPr>
          <w:rFonts w:eastAsiaTheme="minorEastAsia"/>
          <w:color w:val="000000" w:themeColor="text1"/>
          <w:sz w:val="20"/>
        </w:rPr>
        <w:t>”</w:t>
      </w:r>
      <w:r>
        <w:rPr>
          <w:rFonts w:eastAsiaTheme="minorEastAsia"/>
          <w:color w:val="000000" w:themeColor="text1"/>
          <w:sz w:val="20"/>
        </w:rPr>
        <w:t>. According to the agreement made in RAN1#98bis and also indicated in latest RAN1’s LS to RAN2 (R1-2003190), it is also RAN1’s preference and intention that there would be only one MCS range configured to the UE for both DG and CG.</w:t>
      </w:r>
    </w:p>
    <w:tbl>
      <w:tblPr>
        <w:tblStyle w:val="TableGrid"/>
        <w:tblW w:w="0" w:type="auto"/>
        <w:tblInd w:w="279" w:type="dxa"/>
        <w:tblLook w:val="04A0" w:firstRow="1" w:lastRow="0" w:firstColumn="1" w:lastColumn="0" w:noHBand="0" w:noVBand="1"/>
      </w:tblPr>
      <w:tblGrid>
        <w:gridCol w:w="8737"/>
      </w:tblGrid>
      <w:tr w:rsidR="00AB32BB" w14:paraId="0595F7C4" w14:textId="77777777" w:rsidTr="00241006">
        <w:tc>
          <w:tcPr>
            <w:tcW w:w="8737" w:type="dxa"/>
          </w:tcPr>
          <w:p w14:paraId="487C409C" w14:textId="77777777" w:rsidR="00AB32BB" w:rsidRPr="005A7D54" w:rsidRDefault="00AB32BB" w:rsidP="00241006">
            <w:pPr>
              <w:spacing w:before="60"/>
              <w:rPr>
                <w:rFonts w:ascii="Times New Roman" w:hAnsi="Times New Roman" w:cs="Times New Roman"/>
                <w:sz w:val="20"/>
                <w:szCs w:val="20"/>
                <w:lang w:eastAsia="x-none"/>
              </w:rPr>
            </w:pPr>
            <w:r w:rsidRPr="005A7D54">
              <w:rPr>
                <w:rFonts w:ascii="Times New Roman" w:hAnsi="Times New Roman" w:cs="Times New Roman"/>
                <w:sz w:val="20"/>
                <w:szCs w:val="20"/>
                <w:highlight w:val="green"/>
                <w:lang w:eastAsia="x-none"/>
              </w:rPr>
              <w:t>Agreements</w:t>
            </w:r>
            <w:r w:rsidRPr="005A7D54">
              <w:rPr>
                <w:rFonts w:ascii="Times New Roman" w:hAnsi="Times New Roman" w:cs="Times New Roman"/>
                <w:sz w:val="20"/>
                <w:szCs w:val="20"/>
                <w:lang w:eastAsia="x-none"/>
              </w:rPr>
              <w:t>:</w:t>
            </w:r>
          </w:p>
          <w:p w14:paraId="61C7695A" w14:textId="77777777" w:rsidR="00AB32BB" w:rsidRPr="005A7D54" w:rsidRDefault="00AB32BB" w:rsidP="00AB32BB">
            <w:pPr>
              <w:pStyle w:val="ListParagraph"/>
              <w:numPr>
                <w:ilvl w:val="0"/>
                <w:numId w:val="43"/>
              </w:numPr>
              <w:spacing w:line="259" w:lineRule="auto"/>
              <w:ind w:leftChars="0"/>
              <w:rPr>
                <w:rFonts w:ascii="Times New Roman" w:hAnsi="Times New Roman"/>
                <w:szCs w:val="20"/>
                <w:lang w:eastAsia="ja-JP"/>
              </w:rPr>
            </w:pPr>
            <w:r w:rsidRPr="005A7D54">
              <w:rPr>
                <w:rFonts w:ascii="Times New Roman" w:hAnsi="Times New Roman"/>
                <w:szCs w:val="20"/>
                <w:lang w:eastAsia="ja-JP"/>
              </w:rPr>
              <w:t>In Mode-1, for a UE, for each of the configured MCS tables (</w:t>
            </w:r>
            <w:r w:rsidRPr="00A816CD">
              <w:rPr>
                <w:rFonts w:ascii="Times New Roman" w:hAnsi="Times New Roman"/>
                <w:b/>
                <w:bCs/>
                <w:szCs w:val="20"/>
                <w:u w:val="single"/>
                <w:lang w:eastAsia="ja-JP"/>
              </w:rPr>
              <w:t>for both DG &amp; CG</w:t>
            </w:r>
            <w:r w:rsidRPr="005A7D54">
              <w:rPr>
                <w:rFonts w:ascii="Times New Roman" w:hAnsi="Times New Roman"/>
                <w:szCs w:val="20"/>
                <w:lang w:eastAsia="ja-JP"/>
              </w:rPr>
              <w:t>):</w:t>
            </w:r>
          </w:p>
          <w:p w14:paraId="3A2182E1" w14:textId="77777777" w:rsidR="00AB32BB" w:rsidRPr="005A7D54" w:rsidRDefault="00AB32BB" w:rsidP="00AB32BB">
            <w:pPr>
              <w:pStyle w:val="ListParagraph"/>
              <w:numPr>
                <w:ilvl w:val="1"/>
                <w:numId w:val="43"/>
              </w:numPr>
              <w:spacing w:line="259" w:lineRule="auto"/>
              <w:ind w:leftChars="0"/>
              <w:rPr>
                <w:rFonts w:ascii="Times New Roman" w:hAnsi="Times New Roman"/>
                <w:szCs w:val="20"/>
                <w:lang w:eastAsia="ja-JP"/>
              </w:rPr>
            </w:pPr>
            <w:r w:rsidRPr="005A7D54">
              <w:rPr>
                <w:rFonts w:ascii="Times New Roman" w:hAnsi="Times New Roman"/>
                <w:szCs w:val="20"/>
                <w:lang w:eastAsia="ja-JP"/>
              </w:rPr>
              <w:t xml:space="preserve">If no MCS is configured, UE autonomously selects MCS from the full range of values </w:t>
            </w:r>
          </w:p>
          <w:p w14:paraId="32A6BBC5" w14:textId="77777777" w:rsidR="00AB32BB" w:rsidRPr="005A7D54" w:rsidRDefault="00AB32BB" w:rsidP="00AB32BB">
            <w:pPr>
              <w:pStyle w:val="ListParagraph"/>
              <w:numPr>
                <w:ilvl w:val="2"/>
                <w:numId w:val="43"/>
              </w:numPr>
              <w:spacing w:line="259" w:lineRule="auto"/>
              <w:ind w:leftChars="0"/>
              <w:rPr>
                <w:rFonts w:ascii="Times New Roman" w:hAnsi="Times New Roman"/>
                <w:szCs w:val="20"/>
                <w:lang w:eastAsia="ja-JP"/>
              </w:rPr>
            </w:pPr>
            <w:r w:rsidRPr="005A7D54">
              <w:rPr>
                <w:rFonts w:ascii="Times New Roman" w:hAnsi="Times New Roman"/>
                <w:szCs w:val="20"/>
                <w:lang w:eastAsia="ja-JP"/>
              </w:rPr>
              <w:t>Up to UE implementation</w:t>
            </w:r>
          </w:p>
          <w:p w14:paraId="417E39BA" w14:textId="77777777" w:rsidR="00AB32BB" w:rsidRPr="005A7D54" w:rsidRDefault="00AB32BB" w:rsidP="00AB32BB">
            <w:pPr>
              <w:pStyle w:val="ListParagraph"/>
              <w:numPr>
                <w:ilvl w:val="2"/>
                <w:numId w:val="43"/>
              </w:numPr>
              <w:spacing w:line="259" w:lineRule="auto"/>
              <w:ind w:leftChars="0"/>
              <w:rPr>
                <w:rFonts w:ascii="Times New Roman" w:hAnsi="Times New Roman"/>
                <w:szCs w:val="20"/>
                <w:lang w:eastAsia="ja-JP"/>
              </w:rPr>
            </w:pPr>
            <w:r w:rsidRPr="005A7D54">
              <w:rPr>
                <w:rFonts w:ascii="Times New Roman" w:hAnsi="Times New Roman"/>
                <w:szCs w:val="20"/>
                <w:lang w:eastAsia="ja-JP"/>
              </w:rPr>
              <w:t>FFS details for the MCS table</w:t>
            </w:r>
          </w:p>
          <w:p w14:paraId="22796126" w14:textId="77777777" w:rsidR="00AB32BB" w:rsidRPr="005A7D54" w:rsidRDefault="00AB32BB" w:rsidP="00AB32BB">
            <w:pPr>
              <w:pStyle w:val="ListParagraph"/>
              <w:numPr>
                <w:ilvl w:val="1"/>
                <w:numId w:val="43"/>
              </w:numPr>
              <w:spacing w:line="259" w:lineRule="auto"/>
              <w:ind w:leftChars="0"/>
              <w:rPr>
                <w:rFonts w:ascii="Times New Roman" w:hAnsi="Times New Roman"/>
                <w:szCs w:val="20"/>
                <w:lang w:eastAsia="ja-JP"/>
              </w:rPr>
            </w:pPr>
            <w:r w:rsidRPr="005A7D54">
              <w:rPr>
                <w:rFonts w:ascii="Times New Roman" w:hAnsi="Times New Roman"/>
                <w:szCs w:val="20"/>
                <w:lang w:eastAsia="ja-JP"/>
              </w:rPr>
              <w:t>If a single MCS is configured, the MCS is used by the UE</w:t>
            </w:r>
          </w:p>
          <w:p w14:paraId="2590BAB6" w14:textId="77777777" w:rsidR="00AB32BB" w:rsidRPr="005A7D54" w:rsidRDefault="00AB32BB" w:rsidP="00AB32BB">
            <w:pPr>
              <w:pStyle w:val="ListParagraph"/>
              <w:numPr>
                <w:ilvl w:val="1"/>
                <w:numId w:val="43"/>
              </w:numPr>
              <w:spacing w:line="259" w:lineRule="auto"/>
              <w:ind w:leftChars="0"/>
              <w:rPr>
                <w:rFonts w:ascii="Times New Roman" w:hAnsi="Times New Roman"/>
                <w:szCs w:val="20"/>
                <w:lang w:eastAsia="ja-JP"/>
              </w:rPr>
            </w:pPr>
            <w:r w:rsidRPr="005A7D54">
              <w:rPr>
                <w:rFonts w:ascii="Times New Roman" w:hAnsi="Times New Roman"/>
                <w:szCs w:val="20"/>
                <w:lang w:eastAsia="ja-JP"/>
              </w:rPr>
              <w:t>If a range of two or more MCSs are configured, UE autonomously selects the MCS from the configured values</w:t>
            </w:r>
          </w:p>
          <w:p w14:paraId="3C578BAB" w14:textId="77777777" w:rsidR="00AB32BB" w:rsidRPr="00A816CD" w:rsidRDefault="00AB32BB" w:rsidP="00AB32BB">
            <w:pPr>
              <w:pStyle w:val="ListParagraph"/>
              <w:numPr>
                <w:ilvl w:val="2"/>
                <w:numId w:val="43"/>
              </w:numPr>
              <w:spacing w:after="60" w:line="259" w:lineRule="auto"/>
              <w:ind w:leftChars="0"/>
              <w:rPr>
                <w:rFonts w:ascii="Times New Roman" w:hAnsi="Times New Roman"/>
                <w:szCs w:val="20"/>
                <w:lang w:eastAsia="ja-JP"/>
              </w:rPr>
            </w:pPr>
            <w:r w:rsidRPr="005A7D54">
              <w:rPr>
                <w:rFonts w:ascii="Times New Roman" w:hAnsi="Times New Roman"/>
                <w:szCs w:val="20"/>
                <w:lang w:eastAsia="ja-JP"/>
              </w:rPr>
              <w:t>Up to UE implementation</w:t>
            </w:r>
          </w:p>
        </w:tc>
      </w:tr>
    </w:tbl>
    <w:p w14:paraId="654EC91B" w14:textId="52D7EA3E" w:rsidR="00AB32BB" w:rsidRPr="00AB32BB" w:rsidRDefault="00AB32BB" w:rsidP="00AB32BB">
      <w:pPr>
        <w:pStyle w:val="BodyText"/>
        <w:spacing w:before="240" w:after="240"/>
        <w:rPr>
          <w:rFonts w:eastAsiaTheme="minorEastAsia"/>
          <w:b/>
          <w:i/>
          <w:color w:val="000000" w:themeColor="text1"/>
          <w:sz w:val="20"/>
          <w:szCs w:val="20"/>
        </w:rPr>
      </w:pPr>
      <w:r w:rsidRPr="00AB32BB">
        <w:rPr>
          <w:rFonts w:eastAsiaTheme="minorEastAsia"/>
          <w:b/>
          <w:i/>
          <w:color w:val="000000" w:themeColor="text1"/>
          <w:sz w:val="20"/>
          <w:szCs w:val="20"/>
        </w:rPr>
        <w:t>Proposal 2: It is proposed to reply to RAN2 that their working assumption stated in their LS is align with RAN1’s preference and intention. And no configured grant type 1 and type 2 specific MCS range is further needed.</w:t>
      </w:r>
    </w:p>
    <w:p w14:paraId="35CEFB9A" w14:textId="53ADAE7A" w:rsidR="00DC1E9B" w:rsidRPr="009458BE" w:rsidRDefault="009458BE" w:rsidP="00DC1E9B">
      <w:pPr>
        <w:spacing w:before="240" w:after="120"/>
        <w:rPr>
          <w:b/>
          <w:i/>
          <w:color w:val="000000" w:themeColor="text1"/>
          <w:sz w:val="20"/>
          <w:szCs w:val="20"/>
          <w:highlight w:val="yellow"/>
          <w:u w:val="single"/>
        </w:rPr>
      </w:pPr>
      <w:r w:rsidRPr="009458BE">
        <w:rPr>
          <w:b/>
          <w:i/>
          <w:color w:val="000000" w:themeColor="text1"/>
          <w:sz w:val="20"/>
          <w:szCs w:val="20"/>
          <w:u w:val="single"/>
        </w:rPr>
        <w:t>2.</w:t>
      </w:r>
      <w:r w:rsidR="00DC1E9B" w:rsidRPr="009458BE">
        <w:rPr>
          <w:b/>
          <w:i/>
          <w:color w:val="000000" w:themeColor="text1"/>
          <w:sz w:val="20"/>
          <w:szCs w:val="20"/>
          <w:u w:val="single"/>
        </w:rPr>
        <w:t>3 Bitmap indication for PSFCH RB resources</w:t>
      </w:r>
    </w:p>
    <w:p w14:paraId="7C89145A" w14:textId="77777777" w:rsidR="00AB32BB" w:rsidRPr="00F54C83" w:rsidRDefault="00AB32BB" w:rsidP="00AB32BB">
      <w:pPr>
        <w:pStyle w:val="BodyText"/>
        <w:spacing w:after="240"/>
        <w:rPr>
          <w:rFonts w:eastAsiaTheme="minorEastAsia"/>
          <w:sz w:val="20"/>
          <w:highlight w:val="yellow"/>
        </w:rPr>
      </w:pPr>
      <w:r w:rsidRPr="005004DC">
        <w:rPr>
          <w:rFonts w:eastAsiaTheme="minorEastAsia"/>
          <w:color w:val="000000" w:themeColor="text1"/>
          <w:sz w:val="20"/>
        </w:rPr>
        <w:t>In the RAN2’s LS</w:t>
      </w:r>
      <w:r>
        <w:rPr>
          <w:rFonts w:eastAsiaTheme="minorEastAsia"/>
          <w:color w:val="000000" w:themeColor="text1"/>
          <w:sz w:val="20"/>
        </w:rPr>
        <w:t xml:space="preserve"> [1]</w:t>
      </w:r>
      <w:r w:rsidRPr="005004DC">
        <w:rPr>
          <w:rFonts w:eastAsiaTheme="minorEastAsia"/>
          <w:color w:val="000000" w:themeColor="text1"/>
          <w:sz w:val="20"/>
        </w:rPr>
        <w:t xml:space="preserve">, </w:t>
      </w:r>
      <w:r>
        <w:rPr>
          <w:rFonts w:eastAsiaTheme="minorEastAsia"/>
          <w:color w:val="000000" w:themeColor="text1"/>
          <w:sz w:val="20"/>
        </w:rPr>
        <w:t>r</w:t>
      </w:r>
      <w:r w:rsidRPr="00A816CD">
        <w:rPr>
          <w:rFonts w:eastAsiaTheme="minorEastAsia"/>
          <w:color w:val="000000" w:themeColor="text1"/>
          <w:sz w:val="20"/>
        </w:rPr>
        <w:t xml:space="preserve">egarding the parameter </w:t>
      </w:r>
      <w:proofErr w:type="spellStart"/>
      <w:r w:rsidRPr="00A816CD">
        <w:rPr>
          <w:rFonts w:eastAsiaTheme="minorEastAsia"/>
          <w:i/>
          <w:iCs/>
          <w:color w:val="000000" w:themeColor="text1"/>
          <w:sz w:val="20"/>
        </w:rPr>
        <w:t>sl</w:t>
      </w:r>
      <w:proofErr w:type="spellEnd"/>
      <w:r w:rsidRPr="00A816CD">
        <w:rPr>
          <w:rFonts w:eastAsiaTheme="minorEastAsia"/>
          <w:i/>
          <w:iCs/>
          <w:color w:val="000000" w:themeColor="text1"/>
          <w:sz w:val="20"/>
        </w:rPr>
        <w:t>-PSFCH-RB-Set</w:t>
      </w:r>
      <w:r w:rsidRPr="00A816CD">
        <w:rPr>
          <w:rFonts w:eastAsiaTheme="minorEastAsia"/>
          <w:color w:val="000000" w:themeColor="text1"/>
          <w:sz w:val="20"/>
        </w:rPr>
        <w:t xml:space="preserve"> in TS 38.331, V16.0,0 (corresponding to </w:t>
      </w:r>
      <w:proofErr w:type="spellStart"/>
      <w:r w:rsidRPr="00A816CD">
        <w:rPr>
          <w:rFonts w:eastAsiaTheme="minorEastAsia"/>
          <w:i/>
          <w:iCs/>
          <w:color w:val="000000" w:themeColor="text1"/>
          <w:sz w:val="20"/>
        </w:rPr>
        <w:t>rbSetPSFCH</w:t>
      </w:r>
      <w:proofErr w:type="spellEnd"/>
      <w:r w:rsidRPr="00A816CD">
        <w:rPr>
          <w:rFonts w:eastAsiaTheme="minorEastAsia"/>
          <w:color w:val="000000" w:themeColor="text1"/>
          <w:sz w:val="20"/>
        </w:rPr>
        <w:t xml:space="preserve"> in R1-2001478), RAN2 agreed that</w:t>
      </w:r>
      <w:r>
        <w:rPr>
          <w:rFonts w:eastAsiaTheme="minorEastAsia"/>
          <w:color w:val="000000" w:themeColor="text1"/>
          <w:sz w:val="20"/>
        </w:rPr>
        <w:t xml:space="preserve"> “</w:t>
      </w:r>
      <w:r w:rsidRPr="00A816CD">
        <w:rPr>
          <w:rFonts w:eastAsiaTheme="minorEastAsia"/>
          <w:i/>
          <w:iCs/>
          <w:color w:val="000000" w:themeColor="text1"/>
          <w:sz w:val="20"/>
        </w:rPr>
        <w:t>The leftmost bit of the bitmap refers to the lowest RB index in the resource pool</w:t>
      </w:r>
      <w:r>
        <w:rPr>
          <w:rFonts w:eastAsiaTheme="minorEastAsia"/>
          <w:color w:val="000000" w:themeColor="text1"/>
          <w:sz w:val="20"/>
        </w:rPr>
        <w:t>”. Theoretically, it does not matter whether the leftmost bit refers to the lowest or the highest index in the resource pool, as long as it is clearly defined in the RAN2 spec and simply RAN1’s spec can just align to it. Technically, it is also a good thing that the leftmost bit refers to the lowest index in the resource pool, since SL RBs in a resource pool starts from the lowest index. As such, the PSCCH/PSSCH subchannel index is aligned with the PSFCH RB index.</w:t>
      </w:r>
    </w:p>
    <w:p w14:paraId="31DEBD9A" w14:textId="7633A06F" w:rsidR="00AB32BB" w:rsidRPr="00AB32BB" w:rsidRDefault="00AB32BB" w:rsidP="00AB32BB">
      <w:pPr>
        <w:pStyle w:val="BodyText"/>
        <w:spacing w:after="240"/>
        <w:rPr>
          <w:rFonts w:eastAsiaTheme="minorEastAsia"/>
          <w:b/>
          <w:i/>
          <w:color w:val="000000" w:themeColor="text1"/>
          <w:sz w:val="20"/>
          <w:szCs w:val="20"/>
        </w:rPr>
      </w:pPr>
      <w:r w:rsidRPr="00AB32BB">
        <w:rPr>
          <w:rFonts w:eastAsiaTheme="minorEastAsia"/>
          <w:b/>
          <w:i/>
          <w:color w:val="000000" w:themeColor="text1"/>
          <w:sz w:val="20"/>
          <w:szCs w:val="20"/>
        </w:rPr>
        <w:t>Proposal 3: It is proposed to reply to RAN2 that their agreement regarding PSFCH RB bitmap is align with RAN1’s preference and intention.</w:t>
      </w:r>
    </w:p>
    <w:p w14:paraId="3A91C9E1" w14:textId="6FFDD55C"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731300F6" w:rsidR="00695CCB" w:rsidRPr="0089323B" w:rsidRDefault="00695CCB" w:rsidP="00695CCB">
      <w:pPr>
        <w:pStyle w:val="BodyText"/>
        <w:rPr>
          <w:color w:val="000000" w:themeColor="text1"/>
          <w:sz w:val="20"/>
        </w:rPr>
      </w:pPr>
      <w:r w:rsidRPr="0089323B">
        <w:rPr>
          <w:color w:val="000000" w:themeColor="text1"/>
          <w:sz w:val="20"/>
        </w:rPr>
        <w:t>I</w:t>
      </w:r>
      <w:r w:rsidRPr="0089323B">
        <w:rPr>
          <w:rFonts w:hint="eastAsia"/>
          <w:color w:val="000000" w:themeColor="text1"/>
          <w:sz w:val="20"/>
        </w:rPr>
        <w:t xml:space="preserve">n </w:t>
      </w:r>
      <w:r w:rsidRPr="0089323B">
        <w:rPr>
          <w:color w:val="000000" w:themeColor="text1"/>
          <w:sz w:val="20"/>
        </w:rPr>
        <w:t xml:space="preserve">this contribution, </w:t>
      </w:r>
      <w:r w:rsidR="0089323B" w:rsidRPr="0089323B">
        <w:rPr>
          <w:color w:val="000000" w:themeColor="text1"/>
          <w:sz w:val="20"/>
          <w:szCs w:val="20"/>
        </w:rPr>
        <w:t xml:space="preserve">we provided discussions and views for questions </w:t>
      </w:r>
      <w:r w:rsidR="0089323B">
        <w:rPr>
          <w:color w:val="000000" w:themeColor="text1"/>
          <w:sz w:val="20"/>
          <w:szCs w:val="20"/>
        </w:rPr>
        <w:t>in</w:t>
      </w:r>
      <w:r w:rsidR="0089323B" w:rsidRPr="0089323B">
        <w:rPr>
          <w:color w:val="000000" w:themeColor="text1"/>
          <w:sz w:val="20"/>
          <w:szCs w:val="20"/>
        </w:rPr>
        <w:t xml:space="preserve"> RAN2’s LS </w:t>
      </w:r>
      <w:r w:rsidR="0089323B">
        <w:rPr>
          <w:color w:val="000000" w:themeColor="text1"/>
          <w:sz w:val="20"/>
          <w:szCs w:val="20"/>
        </w:rPr>
        <w:t>(</w:t>
      </w:r>
      <w:r w:rsidR="0089323B" w:rsidRPr="0089323B">
        <w:rPr>
          <w:color w:val="000000" w:themeColor="text1"/>
          <w:sz w:val="20"/>
          <w:szCs w:val="20"/>
        </w:rPr>
        <w:t>R1-2003256</w:t>
      </w:r>
      <w:r w:rsidR="0089323B">
        <w:rPr>
          <w:color w:val="000000" w:themeColor="text1"/>
          <w:sz w:val="20"/>
          <w:szCs w:val="20"/>
        </w:rPr>
        <w:t>)</w:t>
      </w:r>
      <w:r w:rsidR="0089323B" w:rsidRPr="0089323B">
        <w:rPr>
          <w:color w:val="000000" w:themeColor="text1"/>
          <w:sz w:val="20"/>
          <w:szCs w:val="20"/>
        </w:rPr>
        <w:t>.</w:t>
      </w:r>
    </w:p>
    <w:p w14:paraId="37D901DE" w14:textId="1E099253" w:rsidR="00695CCB" w:rsidRDefault="00695CCB" w:rsidP="00695CCB">
      <w:pPr>
        <w:pStyle w:val="BodyText"/>
        <w:rPr>
          <w:sz w:val="20"/>
        </w:rPr>
      </w:pPr>
    </w:p>
    <w:p w14:paraId="3138BCC9" w14:textId="77777777" w:rsidR="00AB32BB" w:rsidRPr="00AB32BB" w:rsidRDefault="00AB32BB" w:rsidP="00AB32BB">
      <w:pPr>
        <w:pStyle w:val="BodyText"/>
        <w:spacing w:after="120"/>
        <w:rPr>
          <w:rFonts w:eastAsiaTheme="minorEastAsia"/>
          <w:b/>
          <w:i/>
          <w:iCs/>
          <w:color w:val="auto"/>
          <w:sz w:val="20"/>
        </w:rPr>
      </w:pPr>
      <w:r w:rsidRPr="00AB32BB">
        <w:rPr>
          <w:rFonts w:hint="eastAsia"/>
          <w:b/>
          <w:i/>
          <w:iCs/>
          <w:color w:val="auto"/>
        </w:rPr>
        <w:t>P</w:t>
      </w:r>
      <w:r w:rsidRPr="00AB32BB">
        <w:rPr>
          <w:b/>
          <w:i/>
          <w:iCs/>
          <w:color w:val="auto"/>
        </w:rPr>
        <w:t xml:space="preserve">roposal 1: The </w:t>
      </w:r>
      <w:r w:rsidRPr="00AB32BB">
        <w:rPr>
          <w:rFonts w:eastAsiaTheme="minorEastAsia"/>
          <w:b/>
          <w:i/>
          <w:iCs/>
          <w:color w:val="auto"/>
          <w:sz w:val="20"/>
        </w:rPr>
        <w:t xml:space="preserve">HARQ process ID calculation of SL configured grant can reuse the formula of </w:t>
      </w:r>
      <w:proofErr w:type="spellStart"/>
      <w:r w:rsidRPr="00AB32BB">
        <w:rPr>
          <w:rFonts w:eastAsiaTheme="minorEastAsia"/>
          <w:b/>
          <w:i/>
          <w:iCs/>
          <w:color w:val="auto"/>
          <w:sz w:val="20"/>
        </w:rPr>
        <w:t>IIoT</w:t>
      </w:r>
      <w:proofErr w:type="spellEnd"/>
      <w:r w:rsidRPr="00AB32BB">
        <w:rPr>
          <w:rFonts w:eastAsiaTheme="minorEastAsia"/>
          <w:b/>
          <w:i/>
          <w:iCs/>
          <w:color w:val="auto"/>
          <w:sz w:val="20"/>
        </w:rPr>
        <w:t xml:space="preserve"> equation, with the following modification:</w:t>
      </w:r>
    </w:p>
    <w:p w14:paraId="68AF2610" w14:textId="77777777" w:rsidR="00AB32BB" w:rsidRPr="00AB32BB" w:rsidRDefault="00AB32BB" w:rsidP="00AB32BB">
      <w:pPr>
        <w:pStyle w:val="BodyText"/>
        <w:numPr>
          <w:ilvl w:val="0"/>
          <w:numId w:val="44"/>
        </w:numPr>
        <w:spacing w:after="120"/>
        <w:ind w:left="851"/>
        <w:rPr>
          <w:rFonts w:eastAsiaTheme="minorEastAsia"/>
          <w:b/>
          <w:i/>
          <w:iCs/>
          <w:color w:val="auto"/>
          <w:sz w:val="20"/>
        </w:rPr>
      </w:pPr>
      <w:proofErr w:type="spellStart"/>
      <w:r w:rsidRPr="00AB32BB">
        <w:rPr>
          <w:rFonts w:eastAsiaTheme="minorEastAsia"/>
          <w:b/>
          <w:i/>
          <w:iCs/>
          <w:color w:val="auto"/>
          <w:sz w:val="20"/>
        </w:rPr>
        <w:lastRenderedPageBreak/>
        <w:t>CURRENT_symbol</w:t>
      </w:r>
      <w:proofErr w:type="spellEnd"/>
      <w:r w:rsidRPr="00AB32BB">
        <w:rPr>
          <w:rFonts w:eastAsiaTheme="minorEastAsia"/>
          <w:b/>
          <w:i/>
          <w:iCs/>
          <w:color w:val="auto"/>
          <w:sz w:val="20"/>
        </w:rPr>
        <w:t xml:space="preserve"> is replaced by </w:t>
      </w:r>
      <w:proofErr w:type="spellStart"/>
      <w:r w:rsidRPr="00AB32BB">
        <w:rPr>
          <w:rFonts w:eastAsiaTheme="minorEastAsia"/>
          <w:b/>
          <w:i/>
          <w:iCs/>
          <w:color w:val="auto"/>
          <w:sz w:val="20"/>
        </w:rPr>
        <w:t>CURRENT_slot</w:t>
      </w:r>
      <w:proofErr w:type="spellEnd"/>
      <w:r w:rsidRPr="00AB32BB">
        <w:rPr>
          <w:rFonts w:eastAsiaTheme="minorEastAsia"/>
          <w:b/>
          <w:i/>
          <w:iCs/>
          <w:color w:val="auto"/>
          <w:sz w:val="20"/>
        </w:rPr>
        <w:t xml:space="preserve">, where </w:t>
      </w:r>
      <w:proofErr w:type="spellStart"/>
      <w:r w:rsidRPr="00AB32BB">
        <w:rPr>
          <w:rFonts w:eastAsiaTheme="minorEastAsia" w:hint="eastAsia"/>
          <w:b/>
          <w:i/>
          <w:iCs/>
          <w:color w:val="auto"/>
          <w:sz w:val="20"/>
        </w:rPr>
        <w:t>C</w:t>
      </w:r>
      <w:r w:rsidRPr="00AB32BB">
        <w:rPr>
          <w:rFonts w:eastAsiaTheme="minorEastAsia"/>
          <w:b/>
          <w:i/>
          <w:iCs/>
          <w:color w:val="auto"/>
          <w:sz w:val="20"/>
        </w:rPr>
        <w:t>URRENT_slot</w:t>
      </w:r>
      <w:proofErr w:type="spellEnd"/>
      <w:r w:rsidRPr="00AB32BB">
        <w:rPr>
          <w:rFonts w:eastAsiaTheme="minorEastAsia"/>
          <w:b/>
          <w:i/>
          <w:iCs/>
          <w:color w:val="auto"/>
          <w:sz w:val="20"/>
        </w:rPr>
        <w:t xml:space="preserve"> </w:t>
      </w:r>
      <w:r w:rsidRPr="00AB32BB">
        <w:rPr>
          <w:b/>
          <w:i/>
          <w:iCs/>
          <w:color w:val="auto"/>
          <w:lang w:eastAsia="ko-KR"/>
        </w:rPr>
        <w:t>corresponds to the slot of SL configured grant resource</w:t>
      </w:r>
      <w:r w:rsidRPr="00AB32BB">
        <w:rPr>
          <w:rFonts w:eastAsiaTheme="minorEastAsia"/>
          <w:b/>
          <w:i/>
          <w:iCs/>
          <w:color w:val="auto"/>
          <w:sz w:val="20"/>
        </w:rPr>
        <w:t xml:space="preserve">, and </w:t>
      </w:r>
      <w:proofErr w:type="spellStart"/>
      <w:r w:rsidRPr="00AB32BB">
        <w:rPr>
          <w:rFonts w:eastAsiaTheme="minorEastAsia"/>
          <w:b/>
          <w:i/>
          <w:iCs/>
          <w:color w:val="auto"/>
          <w:sz w:val="20"/>
        </w:rPr>
        <w:t>CURRENT_slot</w:t>
      </w:r>
      <w:proofErr w:type="spellEnd"/>
      <w:r w:rsidRPr="00AB32BB">
        <w:rPr>
          <w:rFonts w:eastAsiaTheme="minorEastAsia"/>
          <w:b/>
          <w:i/>
          <w:iCs/>
          <w:color w:val="auto"/>
          <w:sz w:val="20"/>
        </w:rPr>
        <w:t xml:space="preserve"> = </w:t>
      </w:r>
      <w:r w:rsidRPr="00AB32BB">
        <w:rPr>
          <w:b/>
          <w:i/>
          <w:iCs/>
          <w:color w:val="auto"/>
          <w:lang w:eastAsia="ko-KR"/>
        </w:rPr>
        <w:t xml:space="preserve">(SFN × </w:t>
      </w:r>
      <w:proofErr w:type="spellStart"/>
      <w:r w:rsidRPr="00AB32BB">
        <w:rPr>
          <w:b/>
          <w:i/>
          <w:iCs/>
          <w:color w:val="auto"/>
          <w:lang w:eastAsia="ko-KR"/>
        </w:rPr>
        <w:t>numberOfSlotsPerFrame</w:t>
      </w:r>
      <w:proofErr w:type="spellEnd"/>
      <w:r w:rsidRPr="00AB32BB">
        <w:rPr>
          <w:b/>
          <w:i/>
          <w:iCs/>
          <w:color w:val="auto"/>
          <w:lang w:eastAsia="ko-KR"/>
        </w:rPr>
        <w:t xml:space="preserve">) + slot number in the frame. </w:t>
      </w:r>
      <w:proofErr w:type="spellStart"/>
      <w:r w:rsidRPr="00AB32BB">
        <w:rPr>
          <w:b/>
          <w:i/>
          <w:iCs/>
          <w:color w:val="auto"/>
          <w:lang w:eastAsia="ko-KR"/>
        </w:rPr>
        <w:t>CURRENT_slot</w:t>
      </w:r>
      <w:proofErr w:type="spellEnd"/>
      <w:r w:rsidRPr="00AB32BB">
        <w:rPr>
          <w:b/>
          <w:i/>
          <w:iCs/>
          <w:color w:val="auto"/>
          <w:lang w:eastAsia="ko-KR"/>
        </w:rPr>
        <w:t xml:space="preserve"> corresponds to the slot of SL configured grant resource.</w:t>
      </w:r>
    </w:p>
    <w:p w14:paraId="225412C0" w14:textId="77777777" w:rsidR="00AB32BB" w:rsidRPr="00AB32BB" w:rsidRDefault="00AB32BB" w:rsidP="00AB32BB">
      <w:pPr>
        <w:pStyle w:val="BodyText"/>
        <w:numPr>
          <w:ilvl w:val="0"/>
          <w:numId w:val="44"/>
        </w:numPr>
        <w:spacing w:after="240"/>
        <w:ind w:left="851"/>
        <w:rPr>
          <w:rFonts w:eastAsiaTheme="minorEastAsia"/>
          <w:b/>
          <w:i/>
          <w:iCs/>
          <w:color w:val="auto"/>
          <w:sz w:val="20"/>
        </w:rPr>
      </w:pPr>
      <w:r w:rsidRPr="00AB32BB">
        <w:rPr>
          <w:b/>
          <w:i/>
          <w:iCs/>
          <w:color w:val="auto"/>
        </w:rPr>
        <w:t>Periodicity is the SL configured grant period, in unit of SL physical slots</w:t>
      </w:r>
    </w:p>
    <w:p w14:paraId="6620C505" w14:textId="77777777" w:rsidR="00AB32BB" w:rsidRPr="00AB32BB" w:rsidRDefault="00AB32BB" w:rsidP="00AB32BB">
      <w:pPr>
        <w:pStyle w:val="BodyText"/>
        <w:spacing w:before="240" w:after="240"/>
        <w:rPr>
          <w:rFonts w:eastAsiaTheme="minorEastAsia"/>
          <w:b/>
          <w:i/>
          <w:color w:val="000000" w:themeColor="text1"/>
          <w:sz w:val="20"/>
          <w:szCs w:val="20"/>
        </w:rPr>
      </w:pPr>
      <w:r w:rsidRPr="00AB32BB">
        <w:rPr>
          <w:rFonts w:eastAsiaTheme="minorEastAsia"/>
          <w:b/>
          <w:i/>
          <w:color w:val="000000" w:themeColor="text1"/>
          <w:sz w:val="20"/>
          <w:szCs w:val="20"/>
        </w:rPr>
        <w:t>Proposal 2: It is proposed to reply to RAN2 that their working assumption stated in their LS is align with RAN1’s preference and intention. And no configured grant type 1 and type 2 specific MCS range is further needed.</w:t>
      </w:r>
    </w:p>
    <w:p w14:paraId="7E9EF2EF" w14:textId="77777777" w:rsidR="00AB32BB" w:rsidRPr="00AB32BB" w:rsidRDefault="00AB32BB" w:rsidP="00AB32BB">
      <w:pPr>
        <w:pStyle w:val="BodyText"/>
        <w:spacing w:after="240"/>
        <w:rPr>
          <w:rFonts w:eastAsiaTheme="minorEastAsia"/>
          <w:b/>
          <w:i/>
          <w:color w:val="000000" w:themeColor="text1"/>
          <w:sz w:val="20"/>
          <w:szCs w:val="20"/>
        </w:rPr>
      </w:pPr>
      <w:r w:rsidRPr="00AB32BB">
        <w:rPr>
          <w:rFonts w:eastAsiaTheme="minorEastAsia"/>
          <w:b/>
          <w:i/>
          <w:color w:val="000000" w:themeColor="text1"/>
          <w:sz w:val="20"/>
          <w:szCs w:val="20"/>
        </w:rPr>
        <w:t>Proposal 3: It is proposed to reply to RAN2 that their agreement regarding PSFCH RB bitmap is align with RAN1’s preference and intention.</w:t>
      </w:r>
    </w:p>
    <w:p w14:paraId="0E149866" w14:textId="77777777" w:rsidR="00AB32BB" w:rsidRDefault="00AB32BB" w:rsidP="0089323B">
      <w:pPr>
        <w:spacing w:after="120"/>
        <w:rPr>
          <w:b/>
          <w:sz w:val="20"/>
          <w:szCs w:val="20"/>
        </w:rPr>
      </w:pPr>
    </w:p>
    <w:p w14:paraId="791365A8" w14:textId="32DAC717" w:rsidR="0089323B" w:rsidRDefault="0089323B" w:rsidP="0089323B">
      <w:pPr>
        <w:spacing w:after="120"/>
        <w:rPr>
          <w:b/>
          <w:sz w:val="20"/>
          <w:szCs w:val="20"/>
        </w:rPr>
      </w:pPr>
      <w:r>
        <w:rPr>
          <w:b/>
          <w:sz w:val="20"/>
          <w:szCs w:val="20"/>
        </w:rPr>
        <w:t>Reference</w:t>
      </w:r>
    </w:p>
    <w:p w14:paraId="3B85D3EB" w14:textId="68EBDAF6" w:rsidR="009458BE" w:rsidRPr="0089323B" w:rsidRDefault="0089323B" w:rsidP="0089323B">
      <w:pPr>
        <w:spacing w:after="120"/>
        <w:rPr>
          <w:bCs/>
          <w:sz w:val="20"/>
          <w:szCs w:val="20"/>
        </w:rPr>
      </w:pPr>
      <w:r w:rsidRPr="0040430F">
        <w:rPr>
          <w:bCs/>
          <w:sz w:val="20"/>
          <w:szCs w:val="20"/>
        </w:rPr>
        <w:t>[1] R1-200325</w:t>
      </w:r>
      <w:r w:rsidR="00FD4156">
        <w:rPr>
          <w:bCs/>
          <w:sz w:val="20"/>
          <w:szCs w:val="20"/>
        </w:rPr>
        <w:t>6</w:t>
      </w:r>
      <w:r w:rsidRPr="0040430F">
        <w:rPr>
          <w:bCs/>
          <w:sz w:val="20"/>
          <w:szCs w:val="20"/>
        </w:rPr>
        <w:t xml:space="preserve"> “</w:t>
      </w:r>
      <w:r w:rsidR="00FD4156" w:rsidRPr="00FD4156">
        <w:rPr>
          <w:bCs/>
          <w:sz w:val="20"/>
          <w:szCs w:val="20"/>
        </w:rPr>
        <w:t>LS to RAN1 to check the view on sidelink</w:t>
      </w:r>
      <w:r w:rsidRPr="0040430F">
        <w:rPr>
          <w:bCs/>
          <w:sz w:val="20"/>
          <w:szCs w:val="20"/>
        </w:rPr>
        <w:t>”, RAN2</w:t>
      </w:r>
    </w:p>
    <w:sectPr w:rsidR="009458BE" w:rsidRPr="0089323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BB92C" w14:textId="77777777" w:rsidR="006909AC" w:rsidRDefault="006909AC" w:rsidP="00511BDE">
      <w:r>
        <w:separator/>
      </w:r>
    </w:p>
  </w:endnote>
  <w:endnote w:type="continuationSeparator" w:id="0">
    <w:p w14:paraId="0F757DF5" w14:textId="77777777" w:rsidR="006909AC" w:rsidRDefault="006909A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B2CFA" w14:textId="77777777" w:rsidR="006909AC" w:rsidRDefault="006909AC" w:rsidP="00511BDE">
      <w:r>
        <w:separator/>
      </w:r>
    </w:p>
  </w:footnote>
  <w:footnote w:type="continuationSeparator" w:id="0">
    <w:p w14:paraId="3BC4C746" w14:textId="77777777" w:rsidR="006909AC" w:rsidRDefault="006909A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563E4C"/>
    <w:multiLevelType w:val="hybridMultilevel"/>
    <w:tmpl w:val="A1060E52"/>
    <w:lvl w:ilvl="0" w:tplc="09A69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66B8A"/>
    <w:multiLevelType w:val="hybridMultilevel"/>
    <w:tmpl w:val="7F2669F4"/>
    <w:lvl w:ilvl="0" w:tplc="034CF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56F66"/>
    <w:multiLevelType w:val="hybridMultilevel"/>
    <w:tmpl w:val="7F2669F4"/>
    <w:lvl w:ilvl="0" w:tplc="034CF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9"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9"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30"/>
  </w:num>
  <w:num w:numId="4">
    <w:abstractNumId w:val="19"/>
  </w:num>
  <w:num w:numId="5">
    <w:abstractNumId w:val="5"/>
  </w:num>
  <w:num w:numId="6">
    <w:abstractNumId w:val="19"/>
  </w:num>
  <w:num w:numId="7">
    <w:abstractNumId w:val="19"/>
  </w:num>
  <w:num w:numId="8">
    <w:abstractNumId w:val="19"/>
  </w:num>
  <w:num w:numId="9">
    <w:abstractNumId w:val="19"/>
  </w:num>
  <w:num w:numId="10">
    <w:abstractNumId w:val="28"/>
  </w:num>
  <w:num w:numId="11">
    <w:abstractNumId w:val="32"/>
  </w:num>
  <w:num w:numId="12">
    <w:abstractNumId w:val="0"/>
  </w:num>
  <w:num w:numId="13">
    <w:abstractNumId w:val="1"/>
  </w:num>
  <w:num w:numId="14">
    <w:abstractNumId w:val="21"/>
  </w:num>
  <w:num w:numId="15">
    <w:abstractNumId w:val="23"/>
  </w:num>
  <w:num w:numId="16">
    <w:abstractNumId w:val="16"/>
  </w:num>
  <w:num w:numId="17">
    <w:abstractNumId w:val="14"/>
  </w:num>
  <w:num w:numId="18">
    <w:abstractNumId w:val="34"/>
  </w:num>
  <w:num w:numId="19">
    <w:abstractNumId w:val="37"/>
  </w:num>
  <w:num w:numId="20">
    <w:abstractNumId w:val="15"/>
  </w:num>
  <w:num w:numId="21">
    <w:abstractNumId w:val="38"/>
  </w:num>
  <w:num w:numId="22">
    <w:abstractNumId w:val="33"/>
  </w:num>
  <w:num w:numId="23">
    <w:abstractNumId w:val="36"/>
  </w:num>
  <w:num w:numId="24">
    <w:abstractNumId w:val="6"/>
  </w:num>
  <w:num w:numId="25">
    <w:abstractNumId w:val="29"/>
  </w:num>
  <w:num w:numId="26">
    <w:abstractNumId w:val="11"/>
  </w:num>
  <w:num w:numId="27">
    <w:abstractNumId w:val="18"/>
  </w:num>
  <w:num w:numId="28">
    <w:abstractNumId w:val="27"/>
  </w:num>
  <w:num w:numId="29">
    <w:abstractNumId w:val="4"/>
  </w:num>
  <w:num w:numId="30">
    <w:abstractNumId w:val="17"/>
  </w:num>
  <w:num w:numId="31">
    <w:abstractNumId w:val="25"/>
  </w:num>
  <w:num w:numId="32">
    <w:abstractNumId w:val="3"/>
  </w:num>
  <w:num w:numId="33">
    <w:abstractNumId w:val="20"/>
  </w:num>
  <w:num w:numId="34">
    <w:abstractNumId w:val="9"/>
  </w:num>
  <w:num w:numId="35">
    <w:abstractNumId w:val="39"/>
  </w:num>
  <w:num w:numId="36">
    <w:abstractNumId w:val="12"/>
  </w:num>
  <w:num w:numId="37">
    <w:abstractNumId w:val="22"/>
  </w:num>
  <w:num w:numId="38">
    <w:abstractNumId w:val="7"/>
  </w:num>
  <w:num w:numId="39">
    <w:abstractNumId w:val="26"/>
  </w:num>
  <w:num w:numId="40">
    <w:abstractNumId w:val="2"/>
  </w:num>
  <w:num w:numId="41">
    <w:abstractNumId w:val="8"/>
  </w:num>
  <w:num w:numId="42">
    <w:abstractNumId w:val="24"/>
  </w:num>
  <w:num w:numId="43">
    <w:abstractNumId w:val="35"/>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B1A8E"/>
    <w:rsid w:val="000E23FD"/>
    <w:rsid w:val="000F4718"/>
    <w:rsid w:val="001027FC"/>
    <w:rsid w:val="001110C2"/>
    <w:rsid w:val="0011674C"/>
    <w:rsid w:val="0011719E"/>
    <w:rsid w:val="00122C28"/>
    <w:rsid w:val="001234F4"/>
    <w:rsid w:val="00123EB5"/>
    <w:rsid w:val="00127D1E"/>
    <w:rsid w:val="00132CA4"/>
    <w:rsid w:val="0013394A"/>
    <w:rsid w:val="00140CD4"/>
    <w:rsid w:val="00156000"/>
    <w:rsid w:val="00160871"/>
    <w:rsid w:val="00172616"/>
    <w:rsid w:val="0017666C"/>
    <w:rsid w:val="00183059"/>
    <w:rsid w:val="0018639A"/>
    <w:rsid w:val="0019045B"/>
    <w:rsid w:val="001A4177"/>
    <w:rsid w:val="001C4931"/>
    <w:rsid w:val="001C4A2A"/>
    <w:rsid w:val="001D18BB"/>
    <w:rsid w:val="001D6275"/>
    <w:rsid w:val="001E06F9"/>
    <w:rsid w:val="001E6977"/>
    <w:rsid w:val="001F5429"/>
    <w:rsid w:val="001F604D"/>
    <w:rsid w:val="002010A4"/>
    <w:rsid w:val="00204D5B"/>
    <w:rsid w:val="00210230"/>
    <w:rsid w:val="002232D9"/>
    <w:rsid w:val="00224DF7"/>
    <w:rsid w:val="00225FD1"/>
    <w:rsid w:val="00227A56"/>
    <w:rsid w:val="002347E5"/>
    <w:rsid w:val="002512F3"/>
    <w:rsid w:val="00262374"/>
    <w:rsid w:val="00262DA4"/>
    <w:rsid w:val="00266243"/>
    <w:rsid w:val="00282ADD"/>
    <w:rsid w:val="00290D60"/>
    <w:rsid w:val="00290F4A"/>
    <w:rsid w:val="0029653E"/>
    <w:rsid w:val="002A0897"/>
    <w:rsid w:val="002A09BD"/>
    <w:rsid w:val="002A4183"/>
    <w:rsid w:val="002A6143"/>
    <w:rsid w:val="002B16EA"/>
    <w:rsid w:val="002D117C"/>
    <w:rsid w:val="002D7837"/>
    <w:rsid w:val="002E11B6"/>
    <w:rsid w:val="002F480D"/>
    <w:rsid w:val="00307A16"/>
    <w:rsid w:val="00311E4D"/>
    <w:rsid w:val="0031286C"/>
    <w:rsid w:val="00316B82"/>
    <w:rsid w:val="00322BBF"/>
    <w:rsid w:val="00327432"/>
    <w:rsid w:val="003524E5"/>
    <w:rsid w:val="00390468"/>
    <w:rsid w:val="00395A18"/>
    <w:rsid w:val="003A1784"/>
    <w:rsid w:val="003A4353"/>
    <w:rsid w:val="003A74CD"/>
    <w:rsid w:val="003C70F9"/>
    <w:rsid w:val="003E02C8"/>
    <w:rsid w:val="003F01D2"/>
    <w:rsid w:val="003F30AA"/>
    <w:rsid w:val="00407980"/>
    <w:rsid w:val="00420F6D"/>
    <w:rsid w:val="00421776"/>
    <w:rsid w:val="00422D2B"/>
    <w:rsid w:val="004263F7"/>
    <w:rsid w:val="00435D16"/>
    <w:rsid w:val="00436D20"/>
    <w:rsid w:val="00437571"/>
    <w:rsid w:val="00443FFF"/>
    <w:rsid w:val="004443AC"/>
    <w:rsid w:val="00446597"/>
    <w:rsid w:val="004547F5"/>
    <w:rsid w:val="004601A2"/>
    <w:rsid w:val="004630F7"/>
    <w:rsid w:val="00472914"/>
    <w:rsid w:val="00472CC7"/>
    <w:rsid w:val="004753C3"/>
    <w:rsid w:val="00476B10"/>
    <w:rsid w:val="00484DFD"/>
    <w:rsid w:val="004919B6"/>
    <w:rsid w:val="004A03BC"/>
    <w:rsid w:val="004B2974"/>
    <w:rsid w:val="004B302E"/>
    <w:rsid w:val="004D595C"/>
    <w:rsid w:val="004E7C9C"/>
    <w:rsid w:val="004F16DA"/>
    <w:rsid w:val="004F35D2"/>
    <w:rsid w:val="004F4ABD"/>
    <w:rsid w:val="0050292C"/>
    <w:rsid w:val="0051049B"/>
    <w:rsid w:val="00511BDE"/>
    <w:rsid w:val="00512895"/>
    <w:rsid w:val="00523A4F"/>
    <w:rsid w:val="00535D66"/>
    <w:rsid w:val="00536FA5"/>
    <w:rsid w:val="00545636"/>
    <w:rsid w:val="005532B9"/>
    <w:rsid w:val="00553532"/>
    <w:rsid w:val="005601BB"/>
    <w:rsid w:val="00561A1F"/>
    <w:rsid w:val="00563CA3"/>
    <w:rsid w:val="00570C83"/>
    <w:rsid w:val="0058130A"/>
    <w:rsid w:val="00582FFA"/>
    <w:rsid w:val="0059271B"/>
    <w:rsid w:val="00594422"/>
    <w:rsid w:val="005A2293"/>
    <w:rsid w:val="005A3678"/>
    <w:rsid w:val="005B2729"/>
    <w:rsid w:val="005B4285"/>
    <w:rsid w:val="005B5979"/>
    <w:rsid w:val="005C288B"/>
    <w:rsid w:val="005C7D1E"/>
    <w:rsid w:val="005D1637"/>
    <w:rsid w:val="005E3141"/>
    <w:rsid w:val="005E5FE4"/>
    <w:rsid w:val="00606B8B"/>
    <w:rsid w:val="00622721"/>
    <w:rsid w:val="00624E53"/>
    <w:rsid w:val="006251B5"/>
    <w:rsid w:val="0063046B"/>
    <w:rsid w:val="00631E16"/>
    <w:rsid w:val="006432B0"/>
    <w:rsid w:val="00647615"/>
    <w:rsid w:val="00655F5A"/>
    <w:rsid w:val="006646AC"/>
    <w:rsid w:val="006749EC"/>
    <w:rsid w:val="00677F23"/>
    <w:rsid w:val="00686047"/>
    <w:rsid w:val="00686CD4"/>
    <w:rsid w:val="006909AC"/>
    <w:rsid w:val="00695CCB"/>
    <w:rsid w:val="006A2CAC"/>
    <w:rsid w:val="006A51DC"/>
    <w:rsid w:val="006A58CD"/>
    <w:rsid w:val="006B4A2B"/>
    <w:rsid w:val="006B603A"/>
    <w:rsid w:val="006D38B7"/>
    <w:rsid w:val="006D4CD1"/>
    <w:rsid w:val="006E0CEC"/>
    <w:rsid w:val="006E1142"/>
    <w:rsid w:val="006F5CF2"/>
    <w:rsid w:val="007069E1"/>
    <w:rsid w:val="00714BC5"/>
    <w:rsid w:val="0071547E"/>
    <w:rsid w:val="00723C4C"/>
    <w:rsid w:val="00726769"/>
    <w:rsid w:val="0073281B"/>
    <w:rsid w:val="00740B19"/>
    <w:rsid w:val="00747683"/>
    <w:rsid w:val="00756A23"/>
    <w:rsid w:val="007579A2"/>
    <w:rsid w:val="0076660D"/>
    <w:rsid w:val="007736BB"/>
    <w:rsid w:val="007838AC"/>
    <w:rsid w:val="007871BD"/>
    <w:rsid w:val="00797939"/>
    <w:rsid w:val="007A15B3"/>
    <w:rsid w:val="007A430C"/>
    <w:rsid w:val="007A787E"/>
    <w:rsid w:val="007B0977"/>
    <w:rsid w:val="007C0507"/>
    <w:rsid w:val="007C39F8"/>
    <w:rsid w:val="007D6B9A"/>
    <w:rsid w:val="007E0507"/>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23B"/>
    <w:rsid w:val="008939A5"/>
    <w:rsid w:val="008A335B"/>
    <w:rsid w:val="008A5454"/>
    <w:rsid w:val="008A670B"/>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58BE"/>
    <w:rsid w:val="00947377"/>
    <w:rsid w:val="00947BB5"/>
    <w:rsid w:val="00980EE0"/>
    <w:rsid w:val="0098464D"/>
    <w:rsid w:val="009962B2"/>
    <w:rsid w:val="009973A1"/>
    <w:rsid w:val="009A2560"/>
    <w:rsid w:val="009A5DA5"/>
    <w:rsid w:val="009B1DF9"/>
    <w:rsid w:val="009B1F2E"/>
    <w:rsid w:val="009B3062"/>
    <w:rsid w:val="009B6543"/>
    <w:rsid w:val="009C3461"/>
    <w:rsid w:val="009C5678"/>
    <w:rsid w:val="009C79F1"/>
    <w:rsid w:val="009D1E50"/>
    <w:rsid w:val="009D7E42"/>
    <w:rsid w:val="009F1A8D"/>
    <w:rsid w:val="009F3F8F"/>
    <w:rsid w:val="00A028D8"/>
    <w:rsid w:val="00A03E4B"/>
    <w:rsid w:val="00A05543"/>
    <w:rsid w:val="00A2660F"/>
    <w:rsid w:val="00A34419"/>
    <w:rsid w:val="00A37703"/>
    <w:rsid w:val="00A40928"/>
    <w:rsid w:val="00A42D3B"/>
    <w:rsid w:val="00A51B85"/>
    <w:rsid w:val="00A52CFF"/>
    <w:rsid w:val="00A54461"/>
    <w:rsid w:val="00A559E1"/>
    <w:rsid w:val="00A56438"/>
    <w:rsid w:val="00A6343C"/>
    <w:rsid w:val="00A71DA6"/>
    <w:rsid w:val="00A73D0D"/>
    <w:rsid w:val="00A74298"/>
    <w:rsid w:val="00A75446"/>
    <w:rsid w:val="00A76D8F"/>
    <w:rsid w:val="00A82BB2"/>
    <w:rsid w:val="00A8338A"/>
    <w:rsid w:val="00A956A2"/>
    <w:rsid w:val="00A9698A"/>
    <w:rsid w:val="00AA051F"/>
    <w:rsid w:val="00AA57E5"/>
    <w:rsid w:val="00AB022F"/>
    <w:rsid w:val="00AB32BB"/>
    <w:rsid w:val="00AB4A92"/>
    <w:rsid w:val="00AB5F82"/>
    <w:rsid w:val="00AC031E"/>
    <w:rsid w:val="00AC3DEB"/>
    <w:rsid w:val="00AC5E18"/>
    <w:rsid w:val="00AD1673"/>
    <w:rsid w:val="00AD3B7D"/>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B1965"/>
    <w:rsid w:val="00BC0557"/>
    <w:rsid w:val="00BD2B3D"/>
    <w:rsid w:val="00BD6D85"/>
    <w:rsid w:val="00BE2478"/>
    <w:rsid w:val="00BE2A3B"/>
    <w:rsid w:val="00BE4DC5"/>
    <w:rsid w:val="00BE58F3"/>
    <w:rsid w:val="00C013C8"/>
    <w:rsid w:val="00C049D1"/>
    <w:rsid w:val="00C144FC"/>
    <w:rsid w:val="00C26A2D"/>
    <w:rsid w:val="00C305C2"/>
    <w:rsid w:val="00C31FF2"/>
    <w:rsid w:val="00C352D1"/>
    <w:rsid w:val="00C35EC9"/>
    <w:rsid w:val="00C412C7"/>
    <w:rsid w:val="00C51B72"/>
    <w:rsid w:val="00C5569D"/>
    <w:rsid w:val="00C65176"/>
    <w:rsid w:val="00C65F81"/>
    <w:rsid w:val="00C71B24"/>
    <w:rsid w:val="00CA0AA3"/>
    <w:rsid w:val="00CA5F3B"/>
    <w:rsid w:val="00CB2B91"/>
    <w:rsid w:val="00CC051B"/>
    <w:rsid w:val="00CC7811"/>
    <w:rsid w:val="00CD6B1B"/>
    <w:rsid w:val="00CD7525"/>
    <w:rsid w:val="00CE1122"/>
    <w:rsid w:val="00CE577E"/>
    <w:rsid w:val="00CF0B12"/>
    <w:rsid w:val="00D03439"/>
    <w:rsid w:val="00D03C39"/>
    <w:rsid w:val="00D12DF2"/>
    <w:rsid w:val="00D1518D"/>
    <w:rsid w:val="00D22BB4"/>
    <w:rsid w:val="00D3245A"/>
    <w:rsid w:val="00D34D2E"/>
    <w:rsid w:val="00D435E6"/>
    <w:rsid w:val="00D562C7"/>
    <w:rsid w:val="00D715A7"/>
    <w:rsid w:val="00D71A65"/>
    <w:rsid w:val="00D71B94"/>
    <w:rsid w:val="00D80979"/>
    <w:rsid w:val="00D817AF"/>
    <w:rsid w:val="00D91153"/>
    <w:rsid w:val="00D92E2E"/>
    <w:rsid w:val="00DA4FAB"/>
    <w:rsid w:val="00DA5222"/>
    <w:rsid w:val="00DB2D42"/>
    <w:rsid w:val="00DC1E9B"/>
    <w:rsid w:val="00DC1F83"/>
    <w:rsid w:val="00DC39EC"/>
    <w:rsid w:val="00DD2240"/>
    <w:rsid w:val="00DE619F"/>
    <w:rsid w:val="00DE6987"/>
    <w:rsid w:val="00DF207B"/>
    <w:rsid w:val="00DF790C"/>
    <w:rsid w:val="00E06FEF"/>
    <w:rsid w:val="00E10019"/>
    <w:rsid w:val="00E118B0"/>
    <w:rsid w:val="00E14C15"/>
    <w:rsid w:val="00E15ABB"/>
    <w:rsid w:val="00E23402"/>
    <w:rsid w:val="00E31557"/>
    <w:rsid w:val="00E339F4"/>
    <w:rsid w:val="00E61E35"/>
    <w:rsid w:val="00E64289"/>
    <w:rsid w:val="00E64515"/>
    <w:rsid w:val="00E926B4"/>
    <w:rsid w:val="00E93218"/>
    <w:rsid w:val="00E96E5D"/>
    <w:rsid w:val="00EB013E"/>
    <w:rsid w:val="00EC7F7E"/>
    <w:rsid w:val="00ED5069"/>
    <w:rsid w:val="00EE3CC6"/>
    <w:rsid w:val="00EE40AD"/>
    <w:rsid w:val="00EF0257"/>
    <w:rsid w:val="00EF6EF2"/>
    <w:rsid w:val="00F04F5B"/>
    <w:rsid w:val="00F10BED"/>
    <w:rsid w:val="00F12B44"/>
    <w:rsid w:val="00F140EB"/>
    <w:rsid w:val="00F20722"/>
    <w:rsid w:val="00F43AB1"/>
    <w:rsid w:val="00F445AF"/>
    <w:rsid w:val="00F52ACA"/>
    <w:rsid w:val="00F54C83"/>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D4156"/>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 w:type="character" w:styleId="CommentReference">
    <w:name w:val="annotation reference"/>
    <w:semiHidden/>
    <w:qFormat/>
    <w:rsid w:val="0073281B"/>
    <w:rPr>
      <w:sz w:val="16"/>
      <w:szCs w:val="16"/>
    </w:rPr>
  </w:style>
  <w:style w:type="paragraph" w:styleId="CommentText">
    <w:name w:val="annotation text"/>
    <w:basedOn w:val="Normal"/>
    <w:link w:val="CommentTextChar"/>
    <w:qFormat/>
    <w:rsid w:val="0073281B"/>
    <w:pPr>
      <w:jc w:val="left"/>
    </w:pPr>
    <w:rPr>
      <w:rFonts w:ascii="Times" w:eastAsia="Batang" w:hAnsi="Times" w:cs="Times New Roman"/>
      <w:sz w:val="20"/>
      <w:szCs w:val="20"/>
      <w:lang w:eastAsia="en-US"/>
    </w:rPr>
  </w:style>
  <w:style w:type="character" w:customStyle="1" w:styleId="CommentTextChar">
    <w:name w:val="Comment Text Char"/>
    <w:basedOn w:val="DefaultParagraphFont"/>
    <w:link w:val="CommentText"/>
    <w:qFormat/>
    <w:rsid w:val="0073281B"/>
    <w:rPr>
      <w:rFonts w:ascii="Times" w:eastAsia="Batang" w:hAnsi="Times"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0F4A5-4912-49D5-8549-686998F5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Discussion on RAN1's view on NR sidelink</vt:lpstr>
    </vt:vector>
  </TitlesOfParts>
  <Company>Guangdong OPPO Mobile Telecom</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RAN1's view on NR sidelink</dc:title>
  <dc:subject>NR-V2X</dc:subject>
  <dc:creator>Kevin.Lin@oppo.com</dc:creator>
  <cp:keywords>RAN1#101-e</cp:keywords>
  <dc:description>Final version for submission</dc:description>
  <cp:lastModifiedBy>Kevin Lin</cp:lastModifiedBy>
  <cp:revision>3</cp:revision>
  <cp:lastPrinted>2020-02-08T03:10:00Z</cp:lastPrinted>
  <dcterms:created xsi:type="dcterms:W3CDTF">2020-05-14T12:15:00Z</dcterms:created>
  <dcterms:modified xsi:type="dcterms:W3CDTF">2020-05-15T06:28:00Z</dcterms:modified>
  <cp:category>QoS management</cp:category>
</cp:coreProperties>
</file>